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jc w:val="left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bookmarkStart w:id="0" w:name="_Toc19826"/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附件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  <w:t>3</w:t>
      </w:r>
      <w:bookmarkEnd w:id="0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3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货物需求一览表</w:t>
      </w:r>
    </w:p>
    <w:tbl>
      <w:tblPr>
        <w:tblStyle w:val="6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"/>
        <w:gridCol w:w="1030"/>
        <w:gridCol w:w="2931"/>
        <w:gridCol w:w="4790"/>
        <w:gridCol w:w="227"/>
        <w:gridCol w:w="329"/>
        <w:gridCol w:w="730"/>
        <w:gridCol w:w="929"/>
        <w:gridCol w:w="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计划流水号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物料描述</w:t>
            </w:r>
          </w:p>
        </w:tc>
        <w:tc>
          <w:tcPr>
            <w:tcW w:w="17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单价上限（元）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采购金额（元）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收货地址及联系方式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1004307570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S913K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）精度：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±0.5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％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F.S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）载荷量程：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150KN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）过载负荷：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200%FS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）工作电源：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26VDC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）信号输出：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20mA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）安装方式：按照标准规格尺寸，数字化抽油机悬绳器腔体内固定安装；（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）；湿度：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20%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90%RH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）振动影响：输出变化小于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0.1%FS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10Hz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1KHz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的机械振动）；（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）寿命：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20%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80%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量程内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2000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万次；（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）工作环境：野外；（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）采样频率：≤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50ms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）稳定性：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±0.5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％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F.S/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年；（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U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型结构；（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）安装方式：插入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14700.00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油坊庄作业区二区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1004310499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S913K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58800.00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吴起作业区前指料库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1004311968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S913K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58800.00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采油三厂五里湾第一作业区料库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1004347997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负荷传感器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S913K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无人值守站建设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陕西定边县油房庄第二采油作业区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1004348018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S913K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1470.00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无人值守站建设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陕西定边县胡尖山采油作业区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1004407900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S913K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油坊庄作业区二区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1004417200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S913K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24500.00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1004438413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S913K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第三采油厂五里湾第一作业区料库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1004438494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负荷传感器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S913K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29400.00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第三采油厂新寨作业区料库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1004438500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S913K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58800.00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第三采油厂吴起作业区料库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1004438118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S913K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14700.00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第三采油厂桐寨作业区料库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1004449341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S913K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24500.00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采油三厂产建项目组新寨库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(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数字化建设工程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1004466033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载荷传感器 防冻电缆及接头 S910CQ-FJ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）鸡心环、卡子，保安环；（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2×0.5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防冻耐磨电缆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米；（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）配套有线载荷传感器专用电气防错插头及不锈钢紧固螺母（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:5m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）安装方式：螺纹连接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油房庄作业区二区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1004484177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载荷传感器 防冻电缆及接头 S910CQ-FJ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第三采油厂虎狼峁作业区料库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1004484235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载荷传感器 防冻电缆及接头 S910CQ-FJ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35000.00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第三采油厂吴起作业区料库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1004484272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载荷传感器 防冻电缆及接头 S910CQ-FJ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35000.00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1004484310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载荷传感器 防冻电缆及接头 S910CQ-FJ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第三采油厂新寨作业区料库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1004264306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控制系统配件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RTU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系统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AI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卡件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HC101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北京安控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）通道数：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AI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输入；（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）光电耦合隔离：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2500Vrms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）输入信号：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20mA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）模块供电：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5VDC@85mA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A/D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分辨率：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位；（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）精度：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±0.1%FS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℃），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±0.3%FS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（全温度范围）；（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）数据更新时间：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100ms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）响应时间：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10ms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）瞬变保护：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600W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，无结露；（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）抗干扰设计：通过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CE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认证，达到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EMC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电磁兼容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级标准（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=118mm*43mm*92mm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）安装方式：插拔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胡尖山作业区无人值守站建设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1004264397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RTU系统 AI卡件 HC101 北京安控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4020.00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虎狼峁作业区无人值守站建设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1004287125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RTU系统 AI卡件 HC101 北京安控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1004371905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RTU系统 AI卡件 HC101 北京安控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盘古梁作业区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1004371992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RTU系统 AI卡件 HC101 北京安控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58290.00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五里湾第二采油作业区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1004372070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RTU系统 AI卡件 HC101 北京安控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陕西定边县砖井镇油房庄第一采油作业区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1004417506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RTU系统 AI卡件 HC101 北京安控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1004484176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RTU系统 AI卡件 HC101 北京安控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第三采油厂虎狼峁作业区料库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1004484271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RTU系统 AI卡件 HC101 北京安控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1004470964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ECHO监控与数据采集系统 角位移传感器 S907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⑴角位移量程：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45°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；⑵工作电压：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18~26VDC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；⑶输出信号：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20mA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；⑷精度：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±0.5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％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F.S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；⑸工作温度：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℃；⑹工作环境：野外；⑺采样频率：≤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50ms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；⑻稳定性：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±0.5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％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F.S /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年。（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:132mm*68mm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）安装方式：螺纹连接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油房庄第一采油作业区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1004484307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ECHO监控与数据采集系统 角位移传感器 S907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17500.00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第三采油厂五里湾第一作业区料库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1004310501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控制系统配件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PLC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控制柜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CPU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模块底座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HC825-C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组专用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CAN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总线连接线，用于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CPU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/I/O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模块之间通讯；（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个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Ethernet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口，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个串口；（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组通讯拨码开关，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组专用防插错插头；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(4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CPU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模块配套使用；（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，无结露；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）外形尺寸：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164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（长）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*60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（宽）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*22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（厚）；（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=164mm*60mm*22mm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）安装方式：导轨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吴起作业区前指料库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1004417503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PLC控制柜 CPU模块底座 HC825-C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1004438421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PLC控制柜 CPU模块底座 HC825-C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第三采油厂新寨作业区料库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1004484266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PLC控制柜 CPU模块底座 HC825-C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1004310500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控制系统配件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PLC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控制柜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CPU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HC521-C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）模块供电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 5VDC@245mA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）功耗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1.3W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）处理器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采用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位处理器，主频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400MHz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）时钟精度：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±5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秒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月；（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）内存容量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:32M SDRAM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）数据存储容量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:256M NAND FLASH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）通讯接口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:2 Ethernet,10/100M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RJ45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接口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;1RS232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DB9-M; 1RS232/RS485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DB9-M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接口；（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）通信协议：支持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Modbus RTU/ASCII/TCP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DNP3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等通信协议，支持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CAN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协议；（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I/O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容量：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AI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256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; AO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路；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DI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;DO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路；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PI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;RTD:64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I/O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模块扩展：最多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个；（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A/D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分辨率：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位、精度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0.1%FS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。（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）编程语言：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符合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IEC61131-3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标准，支持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LD,ST,FBD,IL,SFC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五种编程语言；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，无结露；（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=118mm*43mm*92mm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）安装方式：热插拔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4450.00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13350.00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吴起作业区前指料库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1004417502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PLC控制柜 CPU模块 HC521-C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4450.00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1004438420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PLC控制柜 CPU模块 HC521-C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4450.00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44500.00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第三采油厂新寨作业区料库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1004484234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PLC控制柜 CPU模块 HC521-C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4450.00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44500.00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第三采油厂吴起作业区料库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1004484265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PLC控制柜 CPU模块 HC521-C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4450.00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22250.00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1004438498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控制系统配件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PLC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控制柜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网关模块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S101</w:t>
            </w:r>
          </w:p>
        </w:tc>
        <w:tc>
          <w:tcPr>
            <w:tcW w:w="17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）模块供电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:24VDC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）功耗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 1W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）通讯接口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 2 Ethernet,10/100M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RJ45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接口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,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支持不同网段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;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）通信协议：支持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Modbus RTU/ASCII/TCP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DNP3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等通信协议，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）支持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Web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访问；（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，无结露；（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=125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（长）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*58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（宽）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*24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（厚）；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）安装方式：螺钉安装）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1620.00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4860.00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第三采油厂新寨作业区料库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1004287018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S907CQ 有线角位移传感器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⑴角位移量程：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45°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；⑵工作电压：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18~26VDC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；⑶输出信号：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20mA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；⑷精度：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±0.5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％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F.S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；⑸工作温度：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℃；⑹工作环境：野外；⑺采样频率：≤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50ms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；⑻稳定性：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±0.5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％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F.S /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年。（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:132mm*68mm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）安装方式：螺纹连接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13520.00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1004310498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S907CQ 有线角位移传感器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吴起作业区前指料库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1004311388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S907CQ 有线角位移传感器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采油三厂郝坨梁采油作业区料库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1004417199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S907CQ 有线角位移传感器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1004417377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S907CQ 有线角位移传感器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宁夏盐池县大水坑镇红井子作业区料库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1004438492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S907CQ 有线角位移传感器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第三采油厂新寨作业区料库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1004449342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负荷传感器 S907CQ 有线角位移传感器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169.00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4225.00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采油三厂产建项目组新寨库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1004485250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控制系统配件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SCADA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硬件系统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HC805R</w:t>
            </w:r>
          </w:p>
        </w:tc>
        <w:tc>
          <w:tcPr>
            <w:tcW w:w="17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-40~70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5~90%RH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相对湿度不凝结；（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-50~80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5~95%RH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相对湿度不凝结（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=164mm*60mm*22mm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(6)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安装方式：导轨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(7)2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路网口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RS232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直流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24V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电源输入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CPU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模块专用底座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）轨道式安装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1004264305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通讯模块底座 HC803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-40~70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5~90%RH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相对湿度不凝结；（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-50~80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5~95%RH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相对湿度不凝结（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=164mm*60mm*22mm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）安装方式：导轨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）两路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RS485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接口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一路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RS232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接口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扩展通讯模块专用底座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1035.00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胡尖山作业区无人值守站建设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1004264396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控制系统配件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PLC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自动化控制系统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通讯模块底座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HC803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1035.00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虎狼峁作业区无人值守站建设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1004287124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通讯模块底座 HC803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1004310503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通讯模块底座 HC803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吴起作业区前指料库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1004371904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通讯模块底座 HC803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24150.00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盘古梁作业区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1004371991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通讯模块底座 HC803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7590.00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五里湾第二采油作业区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1004372069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通讯模块底座 HC803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定边县砖井镇油房庄第一采油作业区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1004417505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通讯模块底座 HC803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1004484169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通讯模块底座 HC803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1725.00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第三采油厂虎狼峁作业区料库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1004484259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通讯模块底座 HC803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2760.00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1004264403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电源底座 HC802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-40~70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5~90%RH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相对湿度不凝结；（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-50~80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5~95%RH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相对湿度不凝结（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=164mm*60mm*22mm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(6)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安装方式：导轨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(7)6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DC24 V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输出端子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8)PLC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电源模块专用底座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261.00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522.00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虎狼峁作业区无人值守站建设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1004310502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电源底座 HC802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261.00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1827.00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吴起作业区前指料库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1004371912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电源底座 HC802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261.00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9135.00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盘古梁作业区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1004371998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电源底座 HC802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261.00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3132.00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五里湾第二采油作业区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1004372076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电源底座 HC802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261.00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1044.00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陕西定边县砖井镇油房庄第一采油作业区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1004438419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电源底座 HC802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261.00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522.00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第三采油厂新寨作业区料库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1004484168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电源底座 HC802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261.00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522.00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第三采油厂虎狼峁作业区料库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1004484258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控制系统配件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PLC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自动化控制系统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电源底座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HC802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261.00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2088.00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1004264310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I/O底座 HC801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-40~70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5~90%RH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相对湿度不凝结；（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-50~80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5~95%RH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相对湿度不凝结（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=164mm*60mm*22mm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(6)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安装方式：导轨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(7)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支持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路信号量接入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I/0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模块专用底座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7560.00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胡尖山作业区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1004264404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I/O底座 HC801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3780.00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虎狼峁作业区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1004287158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I/O底座 HC801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1004371913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I/O底座 HC801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盘古梁作业区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1004371999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I/O底座 HC801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五里湾第二采油作业区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1004372077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I/O底座 HC801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7560.00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陕西定边县砖井镇油房庄第一采油作业区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1004417504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I/O底座 HC801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1004484167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I/O底座 HC801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第三采油厂虎狼峁作业区料库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1004484257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控制系统配件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PLC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自动化控制系统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I/O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底座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HC801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2160.00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1004264402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CPU底座 HC805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-40~70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5~90%RH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相对湿度不凝结；（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-50~80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5~95%RH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相对湿度不凝结（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=164mm*60mm*22mm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(6)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安装方式：导轨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(7)2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路网口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RS232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直流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24V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电源输入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CPU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模块专用底座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虎狼峁作业区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1004287159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CPU底座 HC805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1004371911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CPU底座 HC805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盘古梁作业区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1004371997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CPU底座 HC805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3360.00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五里湾第二采油作业区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1004372075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CPU底座 HC805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陕西定边县砖井镇油房庄第一采油作业区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1004484166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PLC自动化控制系统 CPU底座 HC805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第三采油厂虎狼峁作业区料库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1004264401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HC501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）模块供电：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5V±2%@245mA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）处理器：采用嵌入式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位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CPU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，主频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400MHz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；时钟精度：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±5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秒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月；（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）内存容量：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32M SDRAM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）数据存储容量：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256M NAND FLASH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）通讯接口：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2 Ethernet,10/100M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RJ45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接口；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1RS232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DB9-M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接口；（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1RS232/485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DB9-M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接口；（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I/O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模块容量：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AI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256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AO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DI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DO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PI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RTD:64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）编程语言：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符合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IEC61131-3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标准，支持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LD,ST,FBD,IL,SFC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五种编程语言；（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，无结露；（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）抗干扰设计：通过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CE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认证，达到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EMC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电磁兼容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级标准；（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=118mm*43mm*92mm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）安装方式：插拔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虎狼峁作业区无人值守站建设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1004287127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HC501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12810.00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1004318783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HC501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新寨采油作业区料库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1004371910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HC501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149450.00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盘古梁作业区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1004371996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HC501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51240.00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五里湾第二采油作业区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1004372074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HC501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17080.00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陕西定边县砖井镇油房庄第一采油作业区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1004438114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HC501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21350.00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第三采油厂桐寨作业区料库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1004484256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HC501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4270.00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34160.00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1004264309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HC133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）通道数：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DO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输出；（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）光电耦合隔离：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2500Vrms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）信号输出范围：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24VDC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）输出功率：每通道持续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200mA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，每模块最大输出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3.0A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）模块供电：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5VDC@95mA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）数据更新时间：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10ms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）瞬变保护：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600W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，无结露；（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）抗干扰设计：通过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CE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认证，达到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EMC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电磁兼容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级标准（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=118mm*43mm*92mm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）安装方式：插拔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胡尖山作业区无人值守站建设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1004417508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HC133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1004438418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HC133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第三采油厂新寨作业区料库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1004484165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HC133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第三采油厂虎狼峁作业区料库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1004484255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控制系统配件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SCADA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硬件系统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HC133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1004264308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HC112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）通道数：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路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DI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输入；（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）光电耦合隔离：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2500Vrms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ON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电平检测：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24VDC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OFF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电平检测：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4VDC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）模块供电：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5VDC@90mA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）数据更新时间：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10ms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）输入频率范围：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30HZ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）瞬变保护：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600W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，无结露；（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）抗干扰设计：通过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CE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认证，达到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EMC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电磁兼容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级标准（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13)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=118mm*43mm*92mm(14)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安装方式：插拔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ZX2019075-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胡尖山作业区无人值守站建设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1004264399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HC112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ZX2019076-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虎狼峁作业区无人值守站建设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1004348000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HC112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ZX2019090-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无人值守站建设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陕西定边县油房庄第二采油作业区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1004348022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HC112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3420.00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ZX2019090-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无人值守站建设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陕西定边县胡尖山采油作业区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1004371908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HC112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39900.00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ZX2019097-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盘古梁作业区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1004371994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HC112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ZX2019099-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五里湾第二采油作业区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1004372072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HC112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4560.00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ZX2019100-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陕西定边县砖井镇油房庄第一采油作业区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1004417507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HC112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1004438417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HC112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第三采油厂新寨作业区料库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1004484164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控制系统配件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SCADA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硬件系统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HC112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第三采油厂虎狼峁作业区料库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1004484254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HC112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1140.00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9120.00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1004264400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HC201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）模块供电：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280VAC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）输出：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24VDC/5A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5VDC/3A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）输入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/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输出隔离：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2500Vrms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，无结露；（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）抗干扰设计：通过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CE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认证，达到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EMC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电磁兼容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级标准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(8)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=118mm*43mm*92mm(9)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安装方式：插拔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ZX2019076-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虎狼峁作业区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1004371909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HC201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12775.00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ZX2019097-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盘古梁作业区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1004371995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HC201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4380.00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ZX2019099-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五里湾第二采油作业区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1004372073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HC201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1460.00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ZX2019100-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陕西定边县砖井镇油房庄第一采油作业区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1004417509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HC201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730.00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1004484163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控制系统配件 SCADA硬件系统 模块 HC201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3650.00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第三采油厂虎狼峁作业区料库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1004484253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控制系统配件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SCADA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硬件系统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模块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HC201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365.00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2920.00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第三采油厂郝坨梁作业区料库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1004348020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开关电源模块 PA2401CC-S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）输入电压：标称电压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220VAC 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范围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90~264VAC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）输入冲击电流：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40A/220VAC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）输出功率：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24W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）输出电压：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DC24V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）输出电流：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0~1A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）输出具有过流过载短路保护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.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）输出过流保护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 1.5A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）输出电压调节范围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 22~27V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）输出电压稳定度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:±1%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）输出负载稳定度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:±1%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）电源效率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:&gt;81%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典型值；（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）纹波与噪声：低于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50mVp-p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）电源初次级间耐压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,I/P-O/P:2000VAC/1minute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）电源工作环境温度：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-40~50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）储存温度：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-50~80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）相对湿度：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10-90%.(17)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=109mm*78mm*35mm(18)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安装方式：螺栓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2420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ZX2019090-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无人值守站建设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陕西定边县胡尖山采油作业区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1004347999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开关电源模块 PA2401CC-S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ZX2019090-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无人值守站建设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陕西定边县油房庄第二采油作业区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1004348021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数据采集模块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安控科技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SZ930</w:t>
            </w:r>
          </w:p>
        </w:tc>
        <w:tc>
          <w:tcPr>
            <w:tcW w:w="17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）通讯协议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ZIGBEE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协议或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IEEE802.15.4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协议；（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）通讯频率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ISM 2.4 GHz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）外部接口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RS232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接口；通信模式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Modbus RTU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封装至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API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数据段内；（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）工作环境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：湿度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95%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温度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）供电电压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24VDC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）天线形式：外置（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）尺寸不大于:长*宽*厚=40mm*69mm*26mm（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）安装方式：螺栓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ZX2019090-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无人值守站建设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陕西定边县胡尖山采油作业区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1004417517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通讯模块 HC301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）模块供电：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5VDC@240mA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）功耗：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1.2W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）通讯接口：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1*RS485+2*RS232/RS485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；通信波特率：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4800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115200bps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）传输方式：全双工、半双工；（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）通讯协议：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Modbus RTU/ACS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Ⅱ；（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）协议模块：主、从；（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）存储温度：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-50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+80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）工作湿度：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95%RH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，无结露；（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）抗干扰设计：通过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CE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认证，达到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EMC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电磁兼容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级标准（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长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宽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*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=118mm*43mm*92mm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12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）安装方式：插拔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14400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1004372068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通讯模块 HC301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14400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ZX2019100-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陕西定边县砖井镇油房庄第一采油作业区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1004371990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通讯模块 HC301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79200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ZX2019099-五里湾第二采油作业区-库小平-15129832039-无人值守站建设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1004371903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通讯模块 HC301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252000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ZX2019097-盘古梁作业区-贠建宏19991137763-无人值守站建设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1004310534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通讯模块 HC301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7200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吴起作业区前指料库 029-86571827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1004287123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通讯模块 HC301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18000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油房庄第一采油作业区 联系人:邹小琴18609517929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1004264395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通讯模块 HC301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14400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ZX2019076-虎狼峁作业区无人值守站建设-冯云15891319195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1004264304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通讯模块 HC301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ZX2019075-胡尖山作业区无人值守站建设-韦运伯：13429791482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1004417518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通讯模块 SZ930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）通讯协议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ZIGBEE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协议或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IEEE802.15.4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协议；（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）通讯频率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ISM 2.4 GHz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）外部接口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RS232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接口；通信模式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Modbus RTU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封装至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API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数据段内；（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4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）工作环境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：湿度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5%RH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95%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温度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-40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+70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℃；（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5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）供电电压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：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24VDC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6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）天线形式：外置（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7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）尺寸不大于:长*宽*厚=40mm*69mm*26mm（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8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）安装方式：螺栓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36000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1004310491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通讯模块 SZ930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11250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吴起作业区前指料库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1004417520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无线网络设备配件 无线通信模块天线 XP2400S-300Z1.5-SMA/M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频率:2400～2483MHZ;驻波:≤2.0; 增益:3.5dBi ;极化型式:Vertical;最大功率:50W ;输入阻抗:50Ω ；尺寸不大于:3m；安装方式：螺纹连接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1004407902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无线网络设备配件 无线通信模块天线 XP2400S-300Z1.5-SMA/M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油坊庄作业区二区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1004405172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无线网络设备配件 无线通信模块天线 XP2400S-300Z1.5-SMA/M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定边县砖井镇油房庄第一采油作业区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1004348017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无线网络设备配件 无线通信模块天线 XP2400S-300Z1.5-SMA/M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638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无人值守站建设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-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陕西定边县胡尖山采油作业区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1004311963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电源模块 安控井口RTU电源模块 PA2401CC-S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（1）输入电压：标称电压220VAC  范围90~264VAC；（2）输入冲击电流：40A/220VAC；（3）输出功率：24W；（4）输出电压：DC24V；（5）输出电流： 0~1A；（6）输出具有过流过载短路保护.；（7）输出过流保护: 1.5A；（8）输出电压调节范围: 22~27V；（9）输出电压稳定度:±1%；（10）输出负载稳定度:±1%；（11）电源效率:&gt;81% 典型值；（12）纹波与噪声：低于50mVp-p；（13）电源初次级间耐压,I/P-O/P:2000VAC/1minute；（14）电源工作环境温度：-40~50℃；（15）储存温度：-50~80℃；（16）相对湿度：10-90%.(17)尺寸不大于:长*宽*厚=109mm*78mm*35mm(18)安装方式：螺栓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25200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采油三厂五里湾第一作业区料库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1004310488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电源模块 安控井口RTU电源模块 PA2401CC-S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10500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吴起作业区前指料库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1004417513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输出模块 HC121</w:t>
            </w:r>
          </w:p>
        </w:tc>
        <w:tc>
          <w:tcPr>
            <w:tcW w:w="17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）通道数：4路A0输出；（2）光电耦合隔离：2500Vrms；（3）输入信号：4～20mA；（4）模块供电：5VDC@90mA；（5）外围电路耗电：24VDC±10%@80mA；（6）A/D分辨率：16位PWM方式；（7）精度：±0.3%FS（25℃），±0.5%FS（全温度范围）；（8）数据更新时间：100ms；（9）输出阻抗：＜1000Ω；（10）瞬变保护：600W；（11）工作温度：-40℃～+70℃；（12）存储温度：-50℃～+80℃；（13）工作湿度：5～95%RH，无结露；（14）抗干扰设计：通过CE认证，达到EMC电磁兼容3级标准（15）尺寸不大于:长*宽*厚=118mm*43mm*92mm（16）安装方式：插拔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采油三厂大水坑作业区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1004372071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输出模块 HC121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6400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陕西定边县砖井镇油房庄第一采油作业区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1004371993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输出模块 HC121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19200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五里湾第二采油作业区无人值守站建设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1004371906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输出模块 HC121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56000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盘古梁作业区无人值守站建设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1004264398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输出模块 HC121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3200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虎狼峁作业区无人值守站建设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1004264307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输出模块 HC121</w:t>
            </w:r>
          </w:p>
        </w:tc>
        <w:tc>
          <w:tcPr>
            <w:tcW w:w="17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9600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胡尖山作业区无人值守站建设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3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1004287080</w:t>
            </w:r>
          </w:p>
        </w:tc>
        <w:tc>
          <w:tcPr>
            <w:tcW w:w="104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无线网络设备配件 无线通信模块天线 GBR-2400-2.5A-RG174(45cm)-SMA</w:t>
            </w:r>
          </w:p>
        </w:tc>
        <w:tc>
          <w:tcPr>
            <w:tcW w:w="17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频率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:2400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～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2483MHZ;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驻波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:≤2.0;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增益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:3.5dBi ;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极化型式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:Vertical;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最大功率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:50W ;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输入阻抗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 xml:space="preserve">:50Ω 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；尺寸不大于</w:t>
            </w:r>
            <w:r>
              <w:rPr>
                <w:rStyle w:val="17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:45cm</w:t>
            </w:r>
            <w:r>
              <w:rPr>
                <w:rStyle w:val="16"/>
                <w:rFonts w:hint="eastAsia" w:ascii="宋体" w:hAnsi="宋体" w:eastAsia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；安装方式：螺纹</w:t>
            </w:r>
          </w:p>
        </w:tc>
        <w:tc>
          <w:tcPr>
            <w:tcW w:w="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3420</w:t>
            </w:r>
          </w:p>
        </w:tc>
        <w:tc>
          <w:tcPr>
            <w:tcW w:w="9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油房庄第一采油作业区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注：本次采购物资不限制品牌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（货物需求一览表中的品牌仅作为技术、规格及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功能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的参考）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，但供应商所投产品技术参数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及实现功能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应等同于或优于货物需求一览表中要求，同时满足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第五章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供货要求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eastAsia="zh-CN"/>
        </w:rPr>
        <w:t>所有货物均应符合相应国家、行业标准。</w:t>
      </w:r>
    </w:p>
    <w:p>
      <w:pPr>
        <w:ind w:firstLine="420" w:firstLineChars="0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不满足技术要求的投标将被否决。</w:t>
      </w:r>
    </w:p>
    <w:p>
      <w:pPr>
        <w:ind w:firstLine="420" w:firstLineChars="0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价格</w:t>
      </w:r>
      <w:r>
        <w:rPr>
          <w:rFonts w:hint="eastAsia" w:ascii="宋体" w:hAnsi="宋体" w:eastAsia="宋体" w:cs="宋体"/>
          <w:b/>
          <w:bCs/>
          <w:color w:val="auto"/>
          <w:highlight w:val="none"/>
        </w:rPr>
        <w:t>包括货物本身价格、13%增值税、运杂费、保险费、相应检验费、伴随产品交运的有关费用、质保期内免费进行售后服务的费用及现场指导安装、调试等货到现场交付使用的所有费用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highlight w:val="none"/>
        </w:rPr>
        <w:sectPr>
          <w:pgSz w:w="16838" w:h="11906" w:orient="landscape"/>
          <w:pgMar w:top="1474" w:right="1417" w:bottom="147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bookmarkStart w:id="1" w:name="_Toc36652731"/>
      <w:bookmarkStart w:id="2" w:name="_Toc36552431"/>
      <w:bookmarkStart w:id="3" w:name="_Toc511400690"/>
      <w:bookmarkStart w:id="4" w:name="_Toc36569418"/>
      <w:bookmarkStart w:id="5" w:name="_Toc36569512"/>
      <w:bookmarkStart w:id="6" w:name="_Toc511229829"/>
    </w:p>
    <w:bookmarkEnd w:id="1"/>
    <w:bookmarkEnd w:id="2"/>
    <w:bookmarkEnd w:id="3"/>
    <w:bookmarkEnd w:id="4"/>
    <w:bookmarkEnd w:id="5"/>
    <w:bookmarkEnd w:id="6"/>
    <w:p>
      <w:bookmarkStart w:id="7" w:name="_GoBack"/>
      <w:bookmarkEnd w:id="7"/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D7121"/>
    <w:rsid w:val="12F03ECA"/>
    <w:rsid w:val="1A357398"/>
    <w:rsid w:val="1D7F5313"/>
    <w:rsid w:val="4F6511D7"/>
    <w:rsid w:val="548A686B"/>
    <w:rsid w:val="57E21816"/>
    <w:rsid w:val="5BB31B33"/>
    <w:rsid w:val="64590215"/>
    <w:rsid w:val="71431011"/>
    <w:rsid w:val="7CFE6F0C"/>
    <w:rsid w:val="7F3A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adjustRightInd w:val="0"/>
      <w:spacing w:line="312" w:lineRule="atLeast"/>
      <w:textAlignment w:val="baseline"/>
    </w:pPr>
    <w:rPr>
      <w:rFonts w:hAnsi="Courier New"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标题二、"/>
    <w:basedOn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/>
      <w:b/>
      <w:kern w:val="0"/>
      <w:sz w:val="20"/>
      <w:szCs w:val="21"/>
    </w:rPr>
  </w:style>
  <w:style w:type="paragraph" w:customStyle="1" w:styleId="10">
    <w:name w:val="中文正文、"/>
    <w:basedOn w:val="1"/>
    <w:qFormat/>
    <w:uiPriority w:val="0"/>
    <w:pPr>
      <w:spacing w:line="360" w:lineRule="auto"/>
      <w:ind w:firstLine="420" w:firstLineChars="200"/>
      <w:jc w:val="left"/>
    </w:pPr>
    <w:rPr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等线" w:eastAsia="等线" w:cs="Times New Roman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中文正文"/>
    <w:basedOn w:val="1"/>
    <w:qFormat/>
    <w:uiPriority w:val="0"/>
    <w:pPr>
      <w:spacing w:line="560" w:lineRule="exact"/>
      <w:ind w:firstLine="200" w:firstLineChars="200"/>
    </w:pPr>
    <w:rPr>
      <w:rFonts w:ascii="方正仿宋简体" w:hAnsi="宋体" w:eastAsia="方正仿宋简体" w:cs="Times New Roman"/>
      <w:kern w:val="0"/>
      <w:sz w:val="32"/>
      <w:szCs w:val="24"/>
      <w:lang w:val="en-GB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7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2020-04-29T03:19:00Z</dcterms:created>
  <dc:creator>WangShy</dc:creator>
  <cp:lastModifiedBy>WangShy</cp:lastModifiedBy>
  <dcterms:modified xsi:type="dcterms:W3CDTF">2020-07-21T09:43:37Z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