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黑体简体" w:hAnsi="黑体" w:eastAsia="方正黑体简体"/>
          <w:b/>
          <w:sz w:val="32"/>
          <w:szCs w:val="32"/>
        </w:rPr>
      </w:pPr>
      <w:bookmarkStart w:id="4" w:name="_GoBack"/>
      <w:bookmarkEnd w:id="4"/>
      <w:r>
        <w:rPr>
          <w:rFonts w:ascii="方正小标宋简体" w:eastAsia="方正小标宋简体"/>
          <w:b/>
          <w:sz w:val="32"/>
          <w:szCs w:val="32"/>
        </w:rPr>
        <w:t>UPS</w:t>
      </w:r>
      <w:r>
        <w:rPr>
          <w:rFonts w:hint="eastAsia" w:ascii="方正小标宋简体" w:eastAsia="方正小标宋简体"/>
          <w:b/>
          <w:sz w:val="32"/>
          <w:szCs w:val="32"/>
        </w:rPr>
        <w:t>设备采购说明</w:t>
      </w:r>
    </w:p>
    <w:p>
      <w:pPr>
        <w:pStyle w:val="8"/>
        <w:spacing w:before="0" w:after="0" w:line="240" w:lineRule="auto"/>
        <w:rPr>
          <w:sz w:val="28"/>
        </w:rPr>
      </w:pPr>
      <w:bookmarkStart w:id="0" w:name="_Toc456012392"/>
    </w:p>
    <w:p>
      <w:pPr>
        <w:pStyle w:val="8"/>
        <w:spacing w:before="0" w:after="0" w:line="240" w:lineRule="auto"/>
        <w:rPr>
          <w:sz w:val="28"/>
          <w:szCs w:val="28"/>
        </w:rPr>
      </w:pPr>
      <w:r>
        <w:rPr>
          <w:rFonts w:hint="eastAsia"/>
          <w:sz w:val="28"/>
          <w:szCs w:val="28"/>
        </w:rPr>
        <w:t>资格要求</w:t>
      </w:r>
    </w:p>
    <w:p>
      <w:pPr>
        <w:widowControl/>
        <w:jc w:val="left"/>
        <w:rPr>
          <w:rFonts w:ascii="Times New Roman" w:hAnsi="Times New Roman"/>
          <w:szCs w:val="21"/>
        </w:rPr>
      </w:pPr>
    </w:p>
    <w:p>
      <w:pPr>
        <w:widowControl/>
        <w:jc w:val="left"/>
        <w:rPr>
          <w:rFonts w:ascii="宋体" w:hAnsi="宋体"/>
          <w:sz w:val="24"/>
        </w:rPr>
      </w:pPr>
      <w:r>
        <w:rPr>
          <w:rFonts w:hint="eastAsia" w:ascii="宋体" w:hAnsi="宋体"/>
          <w:sz w:val="24"/>
        </w:rPr>
        <w:t>投标人资格要求：</w:t>
      </w:r>
    </w:p>
    <w:p>
      <w:pPr>
        <w:pStyle w:val="15"/>
        <w:widowControl/>
        <w:numPr>
          <w:ilvl w:val="0"/>
          <w:numId w:val="1"/>
        </w:numPr>
        <w:ind w:firstLineChars="0"/>
        <w:jc w:val="left"/>
        <w:rPr>
          <w:rFonts w:ascii="宋体" w:hAnsi="宋体"/>
          <w:sz w:val="24"/>
        </w:rPr>
      </w:pPr>
      <w:r>
        <w:rPr>
          <w:rFonts w:hint="eastAsia" w:ascii="宋体" w:hAnsi="宋体"/>
          <w:sz w:val="24"/>
        </w:rPr>
        <w:t>在中华人民共和国境内注册，且具有法人资格的经济实体，营业执照经营范围满足类似招标标的物；</w:t>
      </w:r>
    </w:p>
    <w:p>
      <w:pPr>
        <w:pStyle w:val="15"/>
        <w:widowControl/>
        <w:numPr>
          <w:ilvl w:val="0"/>
          <w:numId w:val="1"/>
        </w:numPr>
        <w:ind w:firstLineChars="0"/>
        <w:jc w:val="left"/>
        <w:rPr>
          <w:rFonts w:ascii="宋体" w:hAnsi="宋体"/>
          <w:sz w:val="24"/>
        </w:rPr>
      </w:pPr>
      <w:r>
        <w:rPr>
          <w:rFonts w:ascii="宋体" w:hAnsi="宋体"/>
          <w:sz w:val="24"/>
        </w:rPr>
        <w:t>投标</w:t>
      </w:r>
      <w:r>
        <w:rPr>
          <w:rFonts w:hint="eastAsia" w:ascii="宋体" w:hAnsi="宋体"/>
          <w:sz w:val="24"/>
        </w:rPr>
        <w:t>方</w:t>
      </w:r>
      <w:r>
        <w:rPr>
          <w:rFonts w:ascii="宋体" w:hAnsi="宋体"/>
          <w:sz w:val="24"/>
        </w:rPr>
        <w:t>未处于因违约等被中国石油天然气集团公司、中国石油天然气股份有限公司或中国石油天然气股份有限公司塔里木油田分公司取消（或/暂停）交易资格（取消相应市场准入、列入黑名单等）的状态。</w:t>
      </w:r>
    </w:p>
    <w:p>
      <w:pPr>
        <w:pStyle w:val="8"/>
        <w:spacing w:before="0" w:after="0" w:line="240" w:lineRule="auto"/>
        <w:rPr>
          <w:sz w:val="28"/>
        </w:rPr>
      </w:pPr>
      <w:r>
        <w:rPr>
          <w:sz w:val="28"/>
        </w:rPr>
        <w:t>技术规格</w:t>
      </w:r>
      <w:bookmarkEnd w:id="0"/>
      <w:r>
        <w:rPr>
          <w:rFonts w:hint="eastAsia"/>
          <w:sz w:val="28"/>
        </w:rPr>
        <w:t>及</w:t>
      </w:r>
      <w:r>
        <w:rPr>
          <w:sz w:val="28"/>
        </w:rPr>
        <w:t>要求</w:t>
      </w:r>
    </w:p>
    <w:p>
      <w:pPr>
        <w:spacing w:line="360" w:lineRule="auto"/>
        <w:ind w:right="17" w:rightChars="8"/>
        <w:rPr>
          <w:rFonts w:ascii="宋体" w:hAnsi="宋体"/>
          <w:b/>
          <w:sz w:val="30"/>
          <w:szCs w:val="30"/>
        </w:rPr>
      </w:pPr>
      <w:r>
        <w:rPr>
          <w:rFonts w:hint="eastAsia" w:ascii="宋体" w:hAnsi="宋体"/>
          <w:b/>
          <w:bCs/>
          <w:sz w:val="24"/>
          <w:szCs w:val="24"/>
        </w:rPr>
        <w:t>供货</w:t>
      </w:r>
      <w:r>
        <w:rPr>
          <w:rFonts w:hint="eastAsia" w:ascii="宋体" w:hAnsi="宋体"/>
          <w:b/>
          <w:sz w:val="24"/>
          <w:szCs w:val="24"/>
        </w:rPr>
        <w:t>清单：</w:t>
      </w:r>
      <w:r>
        <w:rPr>
          <w:rFonts w:hint="eastAsia" w:ascii="宋体" w:hAnsi="宋体"/>
          <w:b/>
          <w:sz w:val="24"/>
        </w:rPr>
        <w:t>（以下★为必须满足项）</w:t>
      </w:r>
    </w:p>
    <w:tbl>
      <w:tblPr>
        <w:tblStyle w:val="11"/>
        <w:tblW w:w="9498"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552"/>
        <w:gridCol w:w="1275"/>
        <w:gridCol w:w="709"/>
        <w:gridCol w:w="709"/>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851" w:type="dxa"/>
            <w:vAlign w:val="center"/>
          </w:tcPr>
          <w:p>
            <w:pPr>
              <w:jc w:val="center"/>
              <w:rPr>
                <w:rFonts w:ascii="宋体" w:hAnsi="宋体"/>
                <w:szCs w:val="21"/>
              </w:rPr>
            </w:pPr>
            <w:r>
              <w:rPr>
                <w:rFonts w:hint="eastAsia" w:ascii="宋体" w:hAnsi="宋体"/>
                <w:szCs w:val="21"/>
              </w:rPr>
              <w:t>序号</w:t>
            </w:r>
          </w:p>
        </w:tc>
        <w:tc>
          <w:tcPr>
            <w:tcW w:w="2552" w:type="dxa"/>
            <w:vAlign w:val="center"/>
          </w:tcPr>
          <w:p>
            <w:pPr>
              <w:jc w:val="center"/>
              <w:rPr>
                <w:rFonts w:ascii="宋体" w:hAnsi="宋体"/>
                <w:szCs w:val="21"/>
              </w:rPr>
            </w:pPr>
            <w:r>
              <w:rPr>
                <w:rFonts w:hint="eastAsia" w:ascii="宋体" w:hAnsi="宋体"/>
                <w:szCs w:val="21"/>
              </w:rPr>
              <w:t>名称</w:t>
            </w:r>
          </w:p>
        </w:tc>
        <w:tc>
          <w:tcPr>
            <w:tcW w:w="1275" w:type="dxa"/>
            <w:vAlign w:val="center"/>
          </w:tcPr>
          <w:p>
            <w:pPr>
              <w:jc w:val="center"/>
              <w:rPr>
                <w:rFonts w:ascii="宋体" w:hAnsi="宋体"/>
                <w:szCs w:val="21"/>
              </w:rPr>
            </w:pPr>
            <w:r>
              <w:rPr>
                <w:rFonts w:hint="eastAsia" w:ascii="宋体" w:hAnsi="宋体"/>
                <w:szCs w:val="21"/>
              </w:rPr>
              <w:t>规格</w:t>
            </w:r>
          </w:p>
        </w:tc>
        <w:tc>
          <w:tcPr>
            <w:tcW w:w="709" w:type="dxa"/>
            <w:vAlign w:val="center"/>
          </w:tcPr>
          <w:p>
            <w:pPr>
              <w:jc w:val="center"/>
              <w:rPr>
                <w:rFonts w:ascii="宋体" w:hAnsi="宋体"/>
                <w:szCs w:val="21"/>
              </w:rPr>
            </w:pPr>
            <w:r>
              <w:rPr>
                <w:rFonts w:hint="eastAsia" w:ascii="宋体" w:hAnsi="宋体"/>
                <w:szCs w:val="21"/>
              </w:rPr>
              <w:t>单位</w:t>
            </w:r>
          </w:p>
        </w:tc>
        <w:tc>
          <w:tcPr>
            <w:tcW w:w="709" w:type="dxa"/>
            <w:vAlign w:val="center"/>
          </w:tcPr>
          <w:p>
            <w:pPr>
              <w:jc w:val="center"/>
              <w:rPr>
                <w:rFonts w:ascii="宋体" w:hAnsi="宋体"/>
                <w:szCs w:val="21"/>
              </w:rPr>
            </w:pPr>
            <w:r>
              <w:rPr>
                <w:rFonts w:hint="eastAsia" w:ascii="宋体" w:hAnsi="宋体"/>
                <w:szCs w:val="21"/>
              </w:rPr>
              <w:t>数量</w:t>
            </w:r>
          </w:p>
        </w:tc>
        <w:tc>
          <w:tcPr>
            <w:tcW w:w="3402" w:type="dxa"/>
            <w:vAlign w:val="center"/>
          </w:tcPr>
          <w:p>
            <w:pPr>
              <w:ind w:firstLine="630" w:firstLineChars="300"/>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说 </w:t>
            </w:r>
            <w:r>
              <w:rPr>
                <w:rFonts w:ascii="宋体" w:hAnsi="宋体"/>
                <w:szCs w:val="21"/>
              </w:rPr>
              <w:t xml:space="preserve">  </w:t>
            </w:r>
            <w:r>
              <w:rPr>
                <w:rFonts w:hint="eastAsia" w:ascii="宋体" w:hAnsi="宋体"/>
                <w:szCs w:val="21"/>
              </w:rPr>
              <w:t>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51" w:type="dxa"/>
            <w:vAlign w:val="center"/>
          </w:tcPr>
          <w:p>
            <w:pPr>
              <w:jc w:val="center"/>
              <w:rPr>
                <w:rFonts w:ascii="宋体" w:hAnsi="宋体"/>
                <w:sz w:val="18"/>
                <w:szCs w:val="18"/>
              </w:rPr>
            </w:pPr>
            <w:r>
              <w:rPr>
                <w:rFonts w:hint="eastAsia" w:ascii="宋体" w:hAnsi="宋体"/>
                <w:sz w:val="18"/>
                <w:szCs w:val="18"/>
              </w:rPr>
              <w:t>1</w:t>
            </w:r>
          </w:p>
        </w:tc>
        <w:tc>
          <w:tcPr>
            <w:tcW w:w="2552" w:type="dxa"/>
            <w:vAlign w:val="center"/>
          </w:tcPr>
          <w:p>
            <w:pPr>
              <w:jc w:val="center"/>
              <w:rPr>
                <w:rFonts w:ascii="宋体" w:hAnsi="宋体"/>
                <w:sz w:val="18"/>
                <w:szCs w:val="18"/>
              </w:rPr>
            </w:pPr>
            <w:r>
              <w:rPr>
                <w:rFonts w:hint="eastAsia" w:ascii="宋体" w:hAnsi="宋体"/>
                <w:sz w:val="18"/>
                <w:szCs w:val="18"/>
              </w:rPr>
              <w:t>★UPS主机功率模块柜</w:t>
            </w:r>
          </w:p>
        </w:tc>
        <w:tc>
          <w:tcPr>
            <w:tcW w:w="1275" w:type="dxa"/>
            <w:vAlign w:val="center"/>
          </w:tcPr>
          <w:p>
            <w:pPr>
              <w:jc w:val="center"/>
              <w:rPr>
                <w:rFonts w:ascii="宋体" w:hAnsi="宋体"/>
                <w:sz w:val="18"/>
                <w:szCs w:val="18"/>
              </w:rPr>
            </w:pPr>
            <w:r>
              <w:rPr>
                <w:rFonts w:hint="eastAsia" w:ascii="宋体" w:hAnsi="宋体"/>
                <w:sz w:val="18"/>
                <w:szCs w:val="18"/>
              </w:rPr>
              <w:t>250KW/500KW</w:t>
            </w:r>
          </w:p>
        </w:tc>
        <w:tc>
          <w:tcPr>
            <w:tcW w:w="709" w:type="dxa"/>
            <w:vAlign w:val="center"/>
          </w:tcPr>
          <w:p>
            <w:pPr>
              <w:jc w:val="center"/>
              <w:rPr>
                <w:rFonts w:ascii="宋体" w:hAnsi="宋体"/>
                <w:sz w:val="18"/>
                <w:szCs w:val="18"/>
              </w:rPr>
            </w:pPr>
            <w:r>
              <w:rPr>
                <w:rFonts w:hint="eastAsia" w:ascii="宋体" w:hAnsi="宋体"/>
                <w:sz w:val="18"/>
                <w:szCs w:val="18"/>
              </w:rPr>
              <w:t>面</w:t>
            </w:r>
          </w:p>
        </w:tc>
        <w:tc>
          <w:tcPr>
            <w:tcW w:w="709" w:type="dxa"/>
            <w:vAlign w:val="center"/>
          </w:tcPr>
          <w:p>
            <w:pPr>
              <w:jc w:val="center"/>
              <w:rPr>
                <w:rFonts w:ascii="宋体" w:hAnsi="宋体"/>
                <w:sz w:val="18"/>
                <w:szCs w:val="18"/>
              </w:rPr>
            </w:pPr>
            <w:r>
              <w:rPr>
                <w:rFonts w:hint="eastAsia" w:ascii="宋体" w:hAnsi="宋体"/>
                <w:sz w:val="18"/>
                <w:szCs w:val="18"/>
              </w:rPr>
              <w:t>2</w:t>
            </w:r>
          </w:p>
        </w:tc>
        <w:tc>
          <w:tcPr>
            <w:tcW w:w="3402" w:type="dxa"/>
            <w:vAlign w:val="center"/>
          </w:tcPr>
          <w:p>
            <w:pPr>
              <w:rPr>
                <w:rFonts w:ascii="宋体" w:hAnsi="宋体"/>
                <w:color w:val="FF0000"/>
                <w:sz w:val="18"/>
                <w:szCs w:val="18"/>
              </w:rPr>
            </w:pPr>
            <w:r>
              <w:rPr>
                <w:rFonts w:hint="eastAsia" w:ascii="宋体" w:hAnsi="宋体"/>
                <w:sz w:val="18"/>
                <w:szCs w:val="18"/>
              </w:rPr>
              <w:t>★</w:t>
            </w:r>
            <w:r>
              <w:rPr>
                <w:rFonts w:hint="eastAsia" w:ascii="宋体" w:hAnsi="宋体"/>
                <w:color w:val="000000" w:themeColor="text1"/>
                <w:sz w:val="18"/>
                <w:szCs w:val="18"/>
                <w14:textFill>
                  <w14:solidFill>
                    <w14:schemeClr w14:val="tx1"/>
                  </w14:solidFill>
                </w14:textFill>
              </w:rPr>
              <w:t>输出功率可以达到300KW，最大可扩到500KW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51" w:type="dxa"/>
            <w:vAlign w:val="center"/>
          </w:tcPr>
          <w:p>
            <w:pPr>
              <w:jc w:val="center"/>
              <w:rPr>
                <w:rFonts w:ascii="宋体" w:hAnsi="宋体"/>
                <w:sz w:val="18"/>
                <w:szCs w:val="18"/>
              </w:rPr>
            </w:pPr>
            <w:r>
              <w:rPr>
                <w:rFonts w:hint="eastAsia" w:ascii="宋体" w:hAnsi="宋体"/>
                <w:sz w:val="18"/>
                <w:szCs w:val="18"/>
              </w:rPr>
              <w:t>2</w:t>
            </w:r>
          </w:p>
        </w:tc>
        <w:tc>
          <w:tcPr>
            <w:tcW w:w="2552" w:type="dxa"/>
            <w:vAlign w:val="center"/>
          </w:tcPr>
          <w:p>
            <w:pPr>
              <w:jc w:val="center"/>
              <w:rPr>
                <w:rFonts w:ascii="宋体" w:hAnsi="宋体"/>
                <w:sz w:val="18"/>
                <w:szCs w:val="18"/>
              </w:rPr>
            </w:pPr>
            <w:r>
              <w:rPr>
                <w:rFonts w:hint="eastAsia" w:ascii="宋体" w:hAnsi="宋体"/>
                <w:sz w:val="18"/>
                <w:szCs w:val="18"/>
              </w:rPr>
              <w:t>★UPS系统输入/静态旁路柜</w:t>
            </w:r>
          </w:p>
        </w:tc>
        <w:tc>
          <w:tcPr>
            <w:tcW w:w="1275" w:type="dxa"/>
            <w:vAlign w:val="center"/>
          </w:tcPr>
          <w:p>
            <w:pPr>
              <w:jc w:val="center"/>
              <w:rPr>
                <w:rFonts w:ascii="宋体" w:hAnsi="宋体"/>
                <w:sz w:val="18"/>
                <w:szCs w:val="18"/>
              </w:rPr>
            </w:pPr>
            <w:r>
              <w:rPr>
                <w:rFonts w:hint="eastAsia" w:ascii="宋体" w:hAnsi="宋体"/>
                <w:color w:val="000000" w:themeColor="text1"/>
                <w:sz w:val="18"/>
                <w:szCs w:val="18"/>
                <w14:textFill>
                  <w14:solidFill>
                    <w14:schemeClr w14:val="tx1"/>
                  </w14:solidFill>
                </w14:textFill>
              </w:rPr>
              <w:t>500KW</w:t>
            </w:r>
          </w:p>
        </w:tc>
        <w:tc>
          <w:tcPr>
            <w:tcW w:w="709" w:type="dxa"/>
            <w:vAlign w:val="center"/>
          </w:tcPr>
          <w:p>
            <w:pPr>
              <w:jc w:val="center"/>
              <w:rPr>
                <w:rFonts w:ascii="宋体" w:hAnsi="宋体"/>
                <w:sz w:val="18"/>
                <w:szCs w:val="18"/>
              </w:rPr>
            </w:pPr>
            <w:r>
              <w:rPr>
                <w:rFonts w:hint="eastAsia" w:ascii="宋体" w:hAnsi="宋体"/>
                <w:sz w:val="18"/>
                <w:szCs w:val="18"/>
              </w:rPr>
              <w:t>面</w:t>
            </w:r>
          </w:p>
        </w:tc>
        <w:tc>
          <w:tcPr>
            <w:tcW w:w="709" w:type="dxa"/>
            <w:vAlign w:val="center"/>
          </w:tcPr>
          <w:p>
            <w:pPr>
              <w:jc w:val="center"/>
              <w:rPr>
                <w:rFonts w:ascii="宋体" w:hAnsi="宋体"/>
                <w:sz w:val="18"/>
                <w:szCs w:val="18"/>
              </w:rPr>
            </w:pPr>
            <w:r>
              <w:rPr>
                <w:rFonts w:hint="eastAsia" w:ascii="宋体" w:hAnsi="宋体"/>
                <w:sz w:val="18"/>
                <w:szCs w:val="18"/>
              </w:rPr>
              <w:t>1</w:t>
            </w:r>
          </w:p>
        </w:tc>
        <w:tc>
          <w:tcPr>
            <w:tcW w:w="3402" w:type="dxa"/>
            <w:vAlign w:val="center"/>
          </w:tcPr>
          <w:p>
            <w:pPr>
              <w:rPr>
                <w:rFonts w:ascii="宋体" w:hAnsi="宋体"/>
                <w:color w:val="000000" w:themeColor="text1"/>
                <w:sz w:val="18"/>
                <w:szCs w:val="18"/>
                <w14:textFill>
                  <w14:solidFill>
                    <w14:schemeClr w14:val="tx1"/>
                  </w14:solidFill>
                </w14:textFill>
              </w:rPr>
            </w:pPr>
            <w:r>
              <w:rPr>
                <w:rFonts w:hint="eastAsia" w:ascii="宋体" w:hAnsi="宋体"/>
                <w:sz w:val="18"/>
                <w:szCs w:val="18"/>
              </w:rPr>
              <w:t>1）★系统静态旁路(</w:t>
            </w:r>
            <w:r>
              <w:rPr>
                <w:rFonts w:hint="eastAsia" w:ascii="宋体" w:hAnsi="宋体"/>
                <w:color w:val="000000" w:themeColor="text1"/>
                <w:sz w:val="18"/>
                <w:szCs w:val="18"/>
                <w14:textFill>
                  <w14:solidFill>
                    <w14:schemeClr w14:val="tx1"/>
                  </w14:solidFill>
                </w14:textFill>
              </w:rPr>
              <w:t>容量:500KW)</w:t>
            </w:r>
          </w:p>
          <w:p>
            <w:pPr>
              <w:rPr>
                <w:rFonts w:ascii="宋体" w:hAnsi="宋体"/>
                <w:sz w:val="18"/>
                <w:szCs w:val="18"/>
              </w:rPr>
            </w:pPr>
            <w:r>
              <w:rPr>
                <w:rFonts w:hint="eastAsia" w:ascii="宋体" w:hAnsi="宋体"/>
                <w:sz w:val="18"/>
                <w:szCs w:val="18"/>
              </w:rPr>
              <w:t>2）★主输入开关容量：3P，不小于630A（Schneider,ABB等国际知名品牌）</w:t>
            </w:r>
          </w:p>
          <w:p>
            <w:pPr>
              <w:rPr>
                <w:rFonts w:ascii="宋体" w:hAnsi="宋体"/>
                <w:sz w:val="18"/>
                <w:szCs w:val="18"/>
              </w:rPr>
            </w:pPr>
            <w:r>
              <w:rPr>
                <w:rFonts w:hint="eastAsia" w:ascii="宋体" w:hAnsi="宋体"/>
                <w:sz w:val="18"/>
                <w:szCs w:val="18"/>
              </w:rPr>
              <w:t>3★系统监控信息接口（SNMP及BMS接口）</w:t>
            </w:r>
          </w:p>
          <w:p>
            <w:pPr>
              <w:rPr>
                <w:rFonts w:ascii="宋体" w:hAnsi="宋体"/>
                <w:color w:val="000000" w:themeColor="text1"/>
                <w:sz w:val="18"/>
                <w:szCs w:val="18"/>
                <w14:textFill>
                  <w14:solidFill>
                    <w14:schemeClr w14:val="tx1"/>
                  </w14:solidFill>
                </w14:textFill>
              </w:rPr>
            </w:pPr>
            <w:r>
              <w:rPr>
                <w:rFonts w:hint="eastAsia" w:ascii="宋体" w:hAnsi="宋体"/>
                <w:sz w:val="18"/>
                <w:szCs w:val="18"/>
              </w:rPr>
              <w:t>4</w:t>
            </w:r>
            <w:r>
              <w:rPr>
                <w:rFonts w:hint="eastAsia" w:ascii="宋体" w:hAnsi="宋体"/>
                <w:color w:val="000000" w:themeColor="text1"/>
                <w:sz w:val="18"/>
                <w:szCs w:val="18"/>
                <w14:textFill>
                  <w14:solidFill>
                    <w14:schemeClr w14:val="tx1"/>
                  </w14:solidFill>
                </w14:textFill>
              </w:rPr>
              <w:t>）</w:t>
            </w:r>
            <w:r>
              <w:rPr>
                <w:rFonts w:hint="eastAsia" w:ascii="宋体" w:hAnsi="宋体"/>
                <w:sz w:val="18"/>
                <w:szCs w:val="18"/>
              </w:rPr>
              <w:t>★</w:t>
            </w:r>
            <w:r>
              <w:rPr>
                <w:rFonts w:hint="eastAsia" w:ascii="宋体" w:hAnsi="宋体"/>
                <w:color w:val="000000" w:themeColor="text1"/>
                <w:sz w:val="18"/>
                <w:szCs w:val="18"/>
                <w14:textFill>
                  <w14:solidFill>
                    <w14:schemeClr w14:val="tx1"/>
                  </w14:solidFill>
                </w14:textFill>
              </w:rPr>
              <w:t>系统控制模块（两个，互为冗余），支持热插拔功能</w:t>
            </w:r>
          </w:p>
          <w:p>
            <w:pP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5）10英寸触摸式状态控制显示器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3" w:hRule="atLeast"/>
        </w:trPr>
        <w:tc>
          <w:tcPr>
            <w:tcW w:w="851" w:type="dxa"/>
            <w:vAlign w:val="center"/>
          </w:tcPr>
          <w:p>
            <w:pPr>
              <w:jc w:val="center"/>
              <w:rPr>
                <w:rFonts w:ascii="宋体" w:hAnsi="宋体"/>
                <w:sz w:val="18"/>
                <w:szCs w:val="18"/>
              </w:rPr>
            </w:pPr>
            <w:r>
              <w:rPr>
                <w:rFonts w:hint="eastAsia" w:ascii="宋体" w:hAnsi="宋体"/>
                <w:sz w:val="18"/>
                <w:szCs w:val="18"/>
              </w:rPr>
              <w:t>3</w:t>
            </w:r>
          </w:p>
        </w:tc>
        <w:tc>
          <w:tcPr>
            <w:tcW w:w="2552" w:type="dxa"/>
            <w:vAlign w:val="center"/>
          </w:tcPr>
          <w:p>
            <w:pPr>
              <w:jc w:val="center"/>
              <w:rPr>
                <w:rFonts w:ascii="宋体" w:hAnsi="宋体"/>
                <w:sz w:val="18"/>
                <w:szCs w:val="18"/>
              </w:rPr>
            </w:pPr>
            <w:r>
              <w:rPr>
                <w:rFonts w:hint="eastAsia" w:ascii="宋体" w:hAnsi="宋体"/>
                <w:sz w:val="18"/>
                <w:szCs w:val="18"/>
              </w:rPr>
              <w:t>★UPS智能输出配电柜及手动维护旁路</w:t>
            </w:r>
          </w:p>
        </w:tc>
        <w:tc>
          <w:tcPr>
            <w:tcW w:w="1275" w:type="dxa"/>
            <w:vAlign w:val="center"/>
          </w:tcPr>
          <w:p>
            <w:pPr>
              <w:jc w:val="center"/>
              <w:rPr>
                <w:rFonts w:ascii="宋体" w:hAnsi="宋体"/>
                <w:sz w:val="18"/>
                <w:szCs w:val="18"/>
              </w:rPr>
            </w:pPr>
            <w:r>
              <w:rPr>
                <w:rFonts w:hint="eastAsia" w:ascii="宋体" w:hAnsi="宋体"/>
                <w:sz w:val="18"/>
                <w:szCs w:val="18"/>
              </w:rPr>
              <w:t>500KW</w:t>
            </w:r>
          </w:p>
        </w:tc>
        <w:tc>
          <w:tcPr>
            <w:tcW w:w="709" w:type="dxa"/>
            <w:vAlign w:val="center"/>
          </w:tcPr>
          <w:p>
            <w:pPr>
              <w:jc w:val="center"/>
              <w:rPr>
                <w:rFonts w:ascii="宋体" w:hAnsi="宋体"/>
                <w:sz w:val="18"/>
                <w:szCs w:val="18"/>
              </w:rPr>
            </w:pPr>
            <w:r>
              <w:rPr>
                <w:rFonts w:hint="eastAsia" w:ascii="宋体" w:hAnsi="宋体"/>
                <w:sz w:val="18"/>
                <w:szCs w:val="18"/>
              </w:rPr>
              <w:t>面</w:t>
            </w:r>
          </w:p>
        </w:tc>
        <w:tc>
          <w:tcPr>
            <w:tcW w:w="709" w:type="dxa"/>
            <w:vAlign w:val="center"/>
          </w:tcPr>
          <w:p>
            <w:pPr>
              <w:jc w:val="center"/>
              <w:rPr>
                <w:rFonts w:ascii="宋体" w:hAnsi="宋体"/>
                <w:sz w:val="18"/>
                <w:szCs w:val="18"/>
              </w:rPr>
            </w:pPr>
            <w:r>
              <w:rPr>
                <w:rFonts w:hint="eastAsia" w:ascii="宋体" w:hAnsi="宋体"/>
                <w:sz w:val="18"/>
                <w:szCs w:val="18"/>
              </w:rPr>
              <w:t>1</w:t>
            </w:r>
          </w:p>
        </w:tc>
        <w:tc>
          <w:tcPr>
            <w:tcW w:w="3402" w:type="dxa"/>
            <w:vAlign w:val="center"/>
          </w:tcPr>
          <w:p>
            <w:pPr>
              <w:rPr>
                <w:rFonts w:ascii="宋体" w:hAnsi="宋体"/>
                <w:sz w:val="18"/>
                <w:szCs w:val="18"/>
              </w:rPr>
            </w:pPr>
            <w:r>
              <w:rPr>
                <w:rFonts w:hint="eastAsia" w:ascii="宋体" w:hAnsi="宋体"/>
                <w:sz w:val="18"/>
                <w:szCs w:val="18"/>
              </w:rPr>
              <w:t>1）★实现对各输出开关的电流监控，并支持热插拔功能，</w:t>
            </w:r>
          </w:p>
          <w:p>
            <w:pPr>
              <w:rPr>
                <w:rFonts w:ascii="宋体" w:hAnsi="宋体"/>
                <w:sz w:val="18"/>
                <w:szCs w:val="18"/>
              </w:rPr>
            </w:pPr>
            <w:r>
              <w:rPr>
                <w:rFonts w:hint="eastAsia" w:ascii="宋体" w:hAnsi="宋体"/>
                <w:sz w:val="18"/>
                <w:szCs w:val="18"/>
              </w:rPr>
              <w:t>2）在系统显示面板上能显示输入/输出交流电多种参数，</w:t>
            </w:r>
          </w:p>
          <w:p>
            <w:pPr>
              <w:rPr>
                <w:rFonts w:ascii="宋体" w:hAnsi="宋体"/>
                <w:sz w:val="18"/>
                <w:szCs w:val="18"/>
              </w:rPr>
            </w:pPr>
            <w:r>
              <w:rPr>
                <w:rFonts w:hint="eastAsia" w:ascii="宋体" w:hAnsi="宋体"/>
                <w:sz w:val="18"/>
                <w:szCs w:val="18"/>
              </w:rPr>
              <w:t xml:space="preserve"> 3）★可管理的输出: 提供对输出的每个支路进行管理，这就使客户能够得到有关输入机柜电流量的信息。 </w:t>
            </w:r>
          </w:p>
          <w:p>
            <w:pPr>
              <w:rPr>
                <w:rFonts w:ascii="宋体" w:hAnsi="宋体"/>
                <w:sz w:val="18"/>
                <w:szCs w:val="18"/>
              </w:rPr>
            </w:pPr>
            <w:r>
              <w:rPr>
                <w:rFonts w:hint="eastAsia" w:ascii="宋体" w:hAnsi="宋体"/>
                <w:sz w:val="18"/>
                <w:szCs w:val="18"/>
              </w:rPr>
              <w:t xml:space="preserve">4）★柜配置门禁传感器，帮助管理员及时连接人员对配电柜的操作状况。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51" w:type="dxa"/>
            <w:vAlign w:val="center"/>
          </w:tcPr>
          <w:p>
            <w:pPr>
              <w:jc w:val="center"/>
              <w:rPr>
                <w:rFonts w:ascii="宋体" w:hAnsi="宋体"/>
                <w:sz w:val="18"/>
                <w:szCs w:val="18"/>
              </w:rPr>
            </w:pPr>
            <w:r>
              <w:rPr>
                <w:rFonts w:hint="eastAsia" w:ascii="宋体" w:hAnsi="宋体"/>
                <w:sz w:val="18"/>
                <w:szCs w:val="18"/>
              </w:rPr>
              <w:t>4</w:t>
            </w:r>
          </w:p>
        </w:tc>
        <w:tc>
          <w:tcPr>
            <w:tcW w:w="2552" w:type="dxa"/>
            <w:vAlign w:val="center"/>
          </w:tcPr>
          <w:p>
            <w:pPr>
              <w:jc w:val="center"/>
              <w:rPr>
                <w:rFonts w:ascii="宋体" w:hAnsi="宋体"/>
                <w:sz w:val="18"/>
                <w:szCs w:val="18"/>
              </w:rPr>
            </w:pPr>
            <w:r>
              <w:rPr>
                <w:rFonts w:hint="eastAsia" w:ascii="宋体" w:hAnsi="宋体"/>
                <w:sz w:val="18"/>
                <w:szCs w:val="18"/>
              </w:rPr>
              <w:t>★UPS电池保护开关柜</w:t>
            </w:r>
          </w:p>
        </w:tc>
        <w:tc>
          <w:tcPr>
            <w:tcW w:w="1275" w:type="dxa"/>
            <w:vAlign w:val="center"/>
          </w:tcPr>
          <w:p>
            <w:pPr>
              <w:jc w:val="center"/>
              <w:rPr>
                <w:rFonts w:ascii="宋体" w:hAnsi="宋体"/>
                <w:sz w:val="18"/>
                <w:szCs w:val="18"/>
              </w:rPr>
            </w:pPr>
            <w:r>
              <w:rPr>
                <w:rFonts w:hint="eastAsia" w:ascii="宋体" w:hAnsi="宋体"/>
                <w:sz w:val="18"/>
                <w:szCs w:val="18"/>
              </w:rPr>
              <w:t>1000A</w:t>
            </w:r>
          </w:p>
        </w:tc>
        <w:tc>
          <w:tcPr>
            <w:tcW w:w="709" w:type="dxa"/>
            <w:vAlign w:val="center"/>
          </w:tcPr>
          <w:p>
            <w:pPr>
              <w:jc w:val="center"/>
              <w:rPr>
                <w:rFonts w:ascii="宋体" w:hAnsi="宋体"/>
                <w:sz w:val="18"/>
                <w:szCs w:val="18"/>
              </w:rPr>
            </w:pPr>
            <w:r>
              <w:rPr>
                <w:rFonts w:hint="eastAsia" w:ascii="宋体" w:hAnsi="宋体"/>
                <w:sz w:val="18"/>
                <w:szCs w:val="18"/>
              </w:rPr>
              <w:t>面</w:t>
            </w:r>
          </w:p>
        </w:tc>
        <w:tc>
          <w:tcPr>
            <w:tcW w:w="709" w:type="dxa"/>
            <w:vAlign w:val="center"/>
          </w:tcPr>
          <w:p>
            <w:pPr>
              <w:jc w:val="center"/>
              <w:rPr>
                <w:rFonts w:ascii="宋体" w:hAnsi="宋体"/>
                <w:sz w:val="18"/>
                <w:szCs w:val="18"/>
              </w:rPr>
            </w:pPr>
            <w:r>
              <w:rPr>
                <w:rFonts w:hint="eastAsia" w:ascii="宋体" w:hAnsi="宋体"/>
                <w:sz w:val="18"/>
                <w:szCs w:val="18"/>
              </w:rPr>
              <w:t>1</w:t>
            </w:r>
          </w:p>
        </w:tc>
        <w:tc>
          <w:tcPr>
            <w:tcW w:w="3402" w:type="dxa"/>
            <w:vAlign w:val="center"/>
          </w:tcPr>
          <w:p>
            <w:pPr>
              <w:rPr>
                <w:rFonts w:ascii="宋体" w:hAnsi="宋体"/>
                <w:sz w:val="18"/>
                <w:szCs w:val="18"/>
              </w:rPr>
            </w:pPr>
            <w:r>
              <w:rPr>
                <w:rFonts w:hint="eastAsia" w:ascii="宋体" w:hAnsi="宋体"/>
                <w:sz w:val="18"/>
                <w:szCs w:val="18"/>
              </w:rPr>
              <w:t>1) ★ 框架式直流开关（1000A）</w:t>
            </w:r>
          </w:p>
          <w:p>
            <w:pPr>
              <w:rPr>
                <w:rFonts w:ascii="宋体" w:hAnsi="宋体"/>
                <w:sz w:val="18"/>
                <w:szCs w:val="18"/>
              </w:rPr>
            </w:pPr>
            <w:r>
              <w:rPr>
                <w:rFonts w:hint="eastAsia" w:ascii="宋体" w:hAnsi="宋体"/>
                <w:sz w:val="18"/>
                <w:szCs w:val="18"/>
              </w:rPr>
              <w:t>2)★包括500A快速熔断丝（数量：2，分别安装在正负电池组回路中）以对电池组实现快速的短路保护</w:t>
            </w:r>
          </w:p>
          <w:p>
            <w:pPr>
              <w:rPr>
                <w:rFonts w:ascii="宋体" w:hAnsi="宋体"/>
                <w:sz w:val="18"/>
                <w:szCs w:val="18"/>
              </w:rPr>
            </w:pPr>
            <w:r>
              <w:rPr>
                <w:rFonts w:hint="eastAsia" w:ascii="宋体" w:hAnsi="宋体"/>
                <w:sz w:val="18"/>
                <w:szCs w:val="18"/>
              </w:rPr>
              <w:t xml:space="preserve"> 3)★包括两个电池温度传感器对电池组的温度监控实现电池浮充温度控制</w:t>
            </w:r>
          </w:p>
          <w:p>
            <w:pPr>
              <w:rPr>
                <w:rFonts w:ascii="宋体" w:hAnsi="宋体"/>
                <w:sz w:val="18"/>
                <w:szCs w:val="18"/>
              </w:rPr>
            </w:pPr>
            <w:r>
              <w:rPr>
                <w:rFonts w:hint="eastAsia" w:ascii="宋体" w:hAnsi="宋体"/>
                <w:sz w:val="18"/>
                <w:szCs w:val="18"/>
              </w:rPr>
              <w:t xml:space="preserve"> 4)★包括直流开关保护线圈及触点，与UPS系统控制板连接实现对电池组的分断保护。</w:t>
            </w:r>
          </w:p>
          <w:p>
            <w:pPr>
              <w:rPr>
                <w:rFonts w:ascii="宋体" w:hAnsi="宋体"/>
                <w:sz w:val="18"/>
                <w:szCs w:val="18"/>
              </w:rPr>
            </w:pPr>
            <w:r>
              <w:rPr>
                <w:rFonts w:hint="eastAsia" w:ascii="宋体" w:hAnsi="宋体"/>
                <w:sz w:val="18"/>
                <w:szCs w:val="18"/>
              </w:rPr>
              <w:t xml:space="preserve"> 5)★在电池回路中接入反相二极管以避免人为错误接错电池组极性造成的设备损坏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51" w:type="dxa"/>
            <w:vAlign w:val="center"/>
          </w:tcPr>
          <w:p>
            <w:pPr>
              <w:jc w:val="center"/>
              <w:rPr>
                <w:rFonts w:ascii="宋体" w:hAnsi="宋体"/>
                <w:sz w:val="18"/>
                <w:szCs w:val="18"/>
              </w:rPr>
            </w:pPr>
            <w:r>
              <w:rPr>
                <w:rFonts w:hint="eastAsia" w:ascii="宋体" w:hAnsi="宋体"/>
                <w:sz w:val="18"/>
                <w:szCs w:val="18"/>
              </w:rPr>
              <w:t>5</w:t>
            </w:r>
          </w:p>
        </w:tc>
        <w:tc>
          <w:tcPr>
            <w:tcW w:w="2552" w:type="dxa"/>
            <w:vAlign w:val="center"/>
          </w:tcPr>
          <w:p>
            <w:pPr>
              <w:jc w:val="center"/>
              <w:rPr>
                <w:rFonts w:ascii="宋体" w:hAnsi="宋体"/>
                <w:sz w:val="18"/>
                <w:szCs w:val="18"/>
              </w:rPr>
            </w:pPr>
            <w:r>
              <w:rPr>
                <w:rFonts w:hint="eastAsia" w:ascii="宋体" w:hAnsi="宋体"/>
                <w:sz w:val="18"/>
                <w:szCs w:val="18"/>
              </w:rPr>
              <w:t>★功率模块</w:t>
            </w:r>
          </w:p>
        </w:tc>
        <w:tc>
          <w:tcPr>
            <w:tcW w:w="1275" w:type="dxa"/>
            <w:vAlign w:val="center"/>
          </w:tcPr>
          <w:p>
            <w:pPr>
              <w:jc w:val="center"/>
              <w:rPr>
                <w:rFonts w:ascii="宋体" w:hAnsi="宋体"/>
                <w:sz w:val="18"/>
                <w:szCs w:val="18"/>
              </w:rPr>
            </w:pPr>
            <w:r>
              <w:rPr>
                <w:rFonts w:hint="eastAsia" w:ascii="宋体" w:hAnsi="宋体"/>
                <w:sz w:val="18"/>
                <w:szCs w:val="18"/>
              </w:rPr>
              <w:t>25KW</w:t>
            </w:r>
          </w:p>
        </w:tc>
        <w:tc>
          <w:tcPr>
            <w:tcW w:w="709" w:type="dxa"/>
            <w:vAlign w:val="center"/>
          </w:tcPr>
          <w:p>
            <w:pPr>
              <w:jc w:val="center"/>
              <w:rPr>
                <w:rFonts w:ascii="宋体" w:hAnsi="宋体"/>
                <w:sz w:val="18"/>
                <w:szCs w:val="18"/>
              </w:rPr>
            </w:pPr>
            <w:r>
              <w:rPr>
                <w:rFonts w:hint="eastAsia" w:ascii="宋体" w:hAnsi="宋体"/>
                <w:sz w:val="18"/>
                <w:szCs w:val="18"/>
              </w:rPr>
              <w:t>个</w:t>
            </w:r>
          </w:p>
        </w:tc>
        <w:tc>
          <w:tcPr>
            <w:tcW w:w="709" w:type="dxa"/>
            <w:vAlign w:val="center"/>
          </w:tcPr>
          <w:p>
            <w:pPr>
              <w:jc w:val="center"/>
              <w:rPr>
                <w:rFonts w:ascii="宋体" w:hAnsi="宋体"/>
                <w:sz w:val="18"/>
                <w:szCs w:val="18"/>
              </w:rPr>
            </w:pPr>
            <w:r>
              <w:rPr>
                <w:rFonts w:hint="eastAsia" w:ascii="宋体" w:hAnsi="宋体"/>
                <w:sz w:val="18"/>
                <w:szCs w:val="18"/>
              </w:rPr>
              <w:t>12</w:t>
            </w:r>
          </w:p>
        </w:tc>
        <w:tc>
          <w:tcPr>
            <w:tcW w:w="3402" w:type="dxa"/>
            <w:vAlign w:val="center"/>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51" w:type="dxa"/>
            <w:vAlign w:val="center"/>
          </w:tcPr>
          <w:p>
            <w:pPr>
              <w:jc w:val="center"/>
              <w:rPr>
                <w:rFonts w:ascii="宋体" w:hAnsi="宋体"/>
                <w:sz w:val="18"/>
                <w:szCs w:val="18"/>
              </w:rPr>
            </w:pPr>
            <w:r>
              <w:rPr>
                <w:rFonts w:hint="eastAsia" w:ascii="宋体" w:hAnsi="宋体"/>
                <w:sz w:val="18"/>
                <w:szCs w:val="18"/>
              </w:rPr>
              <w:t>6</w:t>
            </w:r>
          </w:p>
        </w:tc>
        <w:tc>
          <w:tcPr>
            <w:tcW w:w="2552" w:type="dxa"/>
            <w:vAlign w:val="center"/>
          </w:tcPr>
          <w:p>
            <w:pPr>
              <w:jc w:val="center"/>
              <w:rPr>
                <w:rFonts w:ascii="宋体" w:hAnsi="宋体"/>
                <w:sz w:val="18"/>
                <w:szCs w:val="18"/>
              </w:rPr>
            </w:pPr>
            <w:r>
              <w:rPr>
                <w:rFonts w:hint="eastAsia" w:ascii="宋体" w:hAnsi="宋体"/>
                <w:sz w:val="18"/>
                <w:szCs w:val="18"/>
              </w:rPr>
              <w:t>★静态开关模块</w:t>
            </w:r>
          </w:p>
        </w:tc>
        <w:tc>
          <w:tcPr>
            <w:tcW w:w="1275" w:type="dxa"/>
            <w:vAlign w:val="center"/>
          </w:tcPr>
          <w:p>
            <w:pPr>
              <w:jc w:val="center"/>
              <w:rPr>
                <w:rFonts w:ascii="宋体" w:hAnsi="宋体"/>
                <w:sz w:val="18"/>
                <w:szCs w:val="18"/>
              </w:rPr>
            </w:pPr>
            <w:r>
              <w:rPr>
                <w:rFonts w:hint="eastAsia" w:ascii="宋体" w:hAnsi="宋体"/>
                <w:sz w:val="18"/>
                <w:szCs w:val="18"/>
              </w:rPr>
              <w:t>500KW</w:t>
            </w:r>
          </w:p>
        </w:tc>
        <w:tc>
          <w:tcPr>
            <w:tcW w:w="709" w:type="dxa"/>
            <w:vAlign w:val="center"/>
          </w:tcPr>
          <w:p>
            <w:pPr>
              <w:jc w:val="center"/>
              <w:rPr>
                <w:rFonts w:ascii="宋体" w:hAnsi="宋体"/>
                <w:sz w:val="18"/>
                <w:szCs w:val="18"/>
              </w:rPr>
            </w:pPr>
            <w:r>
              <w:rPr>
                <w:rFonts w:hint="eastAsia" w:ascii="宋体" w:hAnsi="宋体"/>
                <w:sz w:val="18"/>
                <w:szCs w:val="18"/>
              </w:rPr>
              <w:t>个</w:t>
            </w:r>
          </w:p>
        </w:tc>
        <w:tc>
          <w:tcPr>
            <w:tcW w:w="709" w:type="dxa"/>
            <w:vAlign w:val="center"/>
          </w:tcPr>
          <w:p>
            <w:pPr>
              <w:jc w:val="center"/>
              <w:rPr>
                <w:rFonts w:ascii="宋体" w:hAnsi="宋体"/>
                <w:sz w:val="18"/>
                <w:szCs w:val="18"/>
              </w:rPr>
            </w:pPr>
            <w:r>
              <w:rPr>
                <w:rFonts w:hint="eastAsia" w:ascii="宋体" w:hAnsi="宋体"/>
                <w:sz w:val="18"/>
                <w:szCs w:val="18"/>
              </w:rPr>
              <w:t>1</w:t>
            </w:r>
          </w:p>
        </w:tc>
        <w:tc>
          <w:tcPr>
            <w:tcW w:w="3402" w:type="dxa"/>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ascii="宋体" w:hAnsi="宋体"/>
                <w:sz w:val="18"/>
                <w:szCs w:val="18"/>
              </w:rPr>
              <w:t>7</w:t>
            </w:r>
          </w:p>
        </w:tc>
        <w:tc>
          <w:tcPr>
            <w:tcW w:w="255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★蓄电池</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12V-160AH</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只</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192</w:t>
            </w:r>
          </w:p>
        </w:tc>
        <w:tc>
          <w:tcPr>
            <w:tcW w:w="3402" w:type="dxa"/>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r>
              <w:rPr>
                <w:rFonts w:hint="eastAsia" w:ascii="宋体" w:hAnsi="宋体"/>
                <w:sz w:val="18"/>
                <w:szCs w:val="18"/>
              </w:rPr>
              <w:t>★与UPS主机同一品牌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ascii="宋体" w:hAnsi="宋体"/>
                <w:sz w:val="18"/>
                <w:szCs w:val="18"/>
              </w:rPr>
              <w:t>8</w:t>
            </w:r>
          </w:p>
        </w:tc>
        <w:tc>
          <w:tcPr>
            <w:tcW w:w="255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电池架</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定制</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个</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4</w:t>
            </w:r>
          </w:p>
        </w:tc>
        <w:tc>
          <w:tcPr>
            <w:tcW w:w="3402" w:type="dxa"/>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ascii="宋体" w:hAnsi="宋体"/>
                <w:sz w:val="18"/>
                <w:szCs w:val="18"/>
              </w:rPr>
              <w:t>9</w:t>
            </w:r>
          </w:p>
        </w:tc>
        <w:tc>
          <w:tcPr>
            <w:tcW w:w="255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★电池组汇流柜</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定制</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套</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1</w:t>
            </w:r>
          </w:p>
        </w:tc>
        <w:tc>
          <w:tcPr>
            <w:tcW w:w="3402" w:type="dxa"/>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ascii="宋体" w:hAnsi="宋体"/>
                <w:sz w:val="18"/>
                <w:szCs w:val="18"/>
              </w:rPr>
              <w:t>10</w:t>
            </w:r>
          </w:p>
        </w:tc>
        <w:tc>
          <w:tcPr>
            <w:tcW w:w="255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 xml:space="preserve"> 安装辅材</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批</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1</w:t>
            </w:r>
          </w:p>
        </w:tc>
        <w:tc>
          <w:tcPr>
            <w:tcW w:w="3402" w:type="dxa"/>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r>
              <w:rPr>
                <w:rFonts w:hint="eastAsia" w:ascii="宋体" w:hAnsi="宋体"/>
                <w:sz w:val="18"/>
                <w:szCs w:val="18"/>
              </w:rPr>
              <w:t>电池连线、电缆等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ascii="宋体" w:hAnsi="宋体"/>
                <w:sz w:val="18"/>
                <w:szCs w:val="18"/>
              </w:rPr>
              <w:t>11</w:t>
            </w:r>
          </w:p>
        </w:tc>
        <w:tc>
          <w:tcPr>
            <w:tcW w:w="2552" w:type="dxa"/>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r>
              <w:rPr>
                <w:rFonts w:hint="eastAsia" w:ascii="宋体" w:hAnsi="宋体"/>
                <w:sz w:val="18"/>
                <w:szCs w:val="18"/>
              </w:rPr>
              <w:t>★配单转接柜</w:t>
            </w:r>
            <w:r>
              <w:rPr>
                <w:rFonts w:ascii="宋体" w:hAnsi="宋体"/>
                <w:sz w:val="18"/>
                <w:szCs w:val="18"/>
              </w:rPr>
              <w:t>/</w:t>
            </w:r>
            <w:r>
              <w:rPr>
                <w:rFonts w:hint="eastAsia" w:ascii="宋体" w:hAnsi="宋体"/>
                <w:sz w:val="18"/>
                <w:szCs w:val="18"/>
              </w:rPr>
              <w:t>高压开关柜拆除</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批</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1</w:t>
            </w:r>
          </w:p>
        </w:tc>
        <w:tc>
          <w:tcPr>
            <w:tcW w:w="3402" w:type="dxa"/>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ascii="宋体" w:hAnsi="宋体"/>
                <w:sz w:val="18"/>
                <w:szCs w:val="18"/>
              </w:rPr>
              <w:t>12</w:t>
            </w:r>
          </w:p>
        </w:tc>
        <w:tc>
          <w:tcPr>
            <w:tcW w:w="255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★配电柜改造</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批</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1</w:t>
            </w:r>
          </w:p>
        </w:tc>
        <w:tc>
          <w:tcPr>
            <w:tcW w:w="3402" w:type="dxa"/>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r>
              <w:rPr>
                <w:rFonts w:hint="eastAsia" w:ascii="宋体" w:hAnsi="宋体"/>
                <w:sz w:val="18"/>
                <w:szCs w:val="18"/>
              </w:rPr>
              <w:t>挖线缆沟，铺设线缆、沟槽处理、线缆等，含所有辅材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ascii="宋体" w:hAnsi="宋体"/>
                <w:sz w:val="18"/>
                <w:szCs w:val="18"/>
              </w:rPr>
              <w:t>13</w:t>
            </w:r>
          </w:p>
        </w:tc>
        <w:tc>
          <w:tcPr>
            <w:tcW w:w="255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★原厂培训</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疆外培训1周</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人</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1</w:t>
            </w:r>
          </w:p>
        </w:tc>
        <w:tc>
          <w:tcPr>
            <w:tcW w:w="3402" w:type="dxa"/>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ascii="宋体" w:hAnsi="宋体"/>
                <w:sz w:val="18"/>
                <w:szCs w:val="18"/>
              </w:rPr>
              <w:t>14</w:t>
            </w:r>
          </w:p>
        </w:tc>
        <w:tc>
          <w:tcPr>
            <w:tcW w:w="255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★动环监控平台接入</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个</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1</w:t>
            </w:r>
          </w:p>
        </w:tc>
        <w:tc>
          <w:tcPr>
            <w:tcW w:w="3402" w:type="dxa"/>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r>
              <w:rPr>
                <w:rFonts w:hint="eastAsia" w:ascii="宋体" w:hAnsi="宋体"/>
                <w:sz w:val="18"/>
                <w:szCs w:val="18"/>
              </w:rPr>
              <w:t>★负责所有相关设备与原有动环系统的接入工作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ascii="宋体" w:hAnsi="宋体"/>
                <w:sz w:val="18"/>
                <w:szCs w:val="18"/>
              </w:rPr>
              <w:t>15</w:t>
            </w:r>
          </w:p>
        </w:tc>
        <w:tc>
          <w:tcPr>
            <w:tcW w:w="255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★线缆</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批</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p>
        </w:tc>
        <w:tc>
          <w:tcPr>
            <w:tcW w:w="3402" w:type="dxa"/>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ascii="宋体" w:hAnsi="宋体"/>
                <w:sz w:val="18"/>
                <w:szCs w:val="18"/>
              </w:rPr>
              <w:t>16</w:t>
            </w:r>
          </w:p>
        </w:tc>
        <w:tc>
          <w:tcPr>
            <w:tcW w:w="255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w:t>
            </w:r>
            <w:r>
              <w:rPr>
                <w:rFonts w:ascii="宋体" w:hAnsi="宋体"/>
                <w:sz w:val="18"/>
                <w:szCs w:val="18"/>
              </w:rPr>
              <w:t>UPS</w:t>
            </w:r>
            <w:r>
              <w:rPr>
                <w:rFonts w:hint="eastAsia" w:ascii="宋体" w:hAnsi="宋体"/>
                <w:sz w:val="18"/>
                <w:szCs w:val="18"/>
              </w:rPr>
              <w:t>、电池安装</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批</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1</w:t>
            </w:r>
          </w:p>
        </w:tc>
        <w:tc>
          <w:tcPr>
            <w:tcW w:w="3402" w:type="dxa"/>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17</w:t>
            </w:r>
          </w:p>
        </w:tc>
        <w:tc>
          <w:tcPr>
            <w:tcW w:w="255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w:t>
            </w:r>
            <w:r>
              <w:rPr>
                <w:rFonts w:ascii="宋体" w:hAnsi="宋体"/>
                <w:sz w:val="18"/>
                <w:szCs w:val="18"/>
              </w:rPr>
              <w:t xml:space="preserve">UPS </w:t>
            </w:r>
            <w:r>
              <w:rPr>
                <w:rFonts w:hint="eastAsia" w:ascii="宋体" w:hAnsi="宋体"/>
                <w:sz w:val="18"/>
                <w:szCs w:val="18"/>
              </w:rPr>
              <w:t>软件调试设备</w:t>
            </w:r>
          </w:p>
        </w:tc>
        <w:tc>
          <w:tcPr>
            <w:tcW w:w="1275" w:type="dxa"/>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r>
              <w:rPr>
                <w:rFonts w:hint="eastAsia" w:ascii="宋体" w:hAnsi="宋体"/>
                <w:sz w:val="18"/>
                <w:szCs w:val="18"/>
              </w:rPr>
              <w:t>T</w:t>
            </w:r>
            <w:r>
              <w:rPr>
                <w:rFonts w:ascii="宋体" w:hAnsi="宋体"/>
                <w:sz w:val="18"/>
                <w:szCs w:val="18"/>
              </w:rPr>
              <w:t>HANKPAD</w:t>
            </w:r>
            <w:r>
              <w:rPr>
                <w:rFonts w:hint="eastAsia" w:ascii="宋体" w:hAnsi="宋体"/>
                <w:sz w:val="18"/>
                <w:szCs w:val="18"/>
              </w:rPr>
              <w:t xml:space="preserve"> </w:t>
            </w:r>
            <w:r>
              <w:rPr>
                <w:rFonts w:ascii="宋体" w:hAnsi="宋体"/>
                <w:sz w:val="18"/>
                <w:szCs w:val="18"/>
              </w:rPr>
              <w:t>X1 C</w:t>
            </w:r>
            <w:r>
              <w:rPr>
                <w:rFonts w:hint="eastAsia" w:ascii="宋体" w:hAnsi="宋体"/>
                <w:sz w:val="18"/>
                <w:szCs w:val="18"/>
              </w:rPr>
              <w:t>a</w:t>
            </w:r>
            <w:r>
              <w:rPr>
                <w:rFonts w:ascii="宋体" w:hAnsi="宋体"/>
                <w:sz w:val="18"/>
                <w:szCs w:val="18"/>
              </w:rPr>
              <w:t xml:space="preserve">rbon </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台</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2</w:t>
            </w:r>
          </w:p>
        </w:tc>
        <w:tc>
          <w:tcPr>
            <w:tcW w:w="3402" w:type="dxa"/>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18</w:t>
            </w:r>
          </w:p>
        </w:tc>
        <w:tc>
          <w:tcPr>
            <w:tcW w:w="255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★嵌入式直流电源</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台</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1</w:t>
            </w:r>
          </w:p>
        </w:tc>
        <w:tc>
          <w:tcPr>
            <w:tcW w:w="3402" w:type="dxa"/>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r>
              <w:rPr>
                <w:rFonts w:hint="eastAsia" w:ascii="宋体" w:hAnsi="宋体"/>
                <w:sz w:val="18"/>
                <w:szCs w:val="18"/>
              </w:rPr>
              <w:t>模块30</w:t>
            </w:r>
            <w:r>
              <w:rPr>
                <w:rFonts w:ascii="宋体" w:hAnsi="宋体"/>
                <w:sz w:val="18"/>
                <w:szCs w:val="18"/>
              </w:rPr>
              <w:t>A</w:t>
            </w:r>
            <w:r>
              <w:rPr>
                <w:rFonts w:hint="eastAsia" w:ascii="宋体" w:hAnsi="宋体"/>
                <w:sz w:val="18"/>
                <w:szCs w:val="18"/>
              </w:rPr>
              <w:t>，监控单元S</w:t>
            </w:r>
            <w:r>
              <w:rPr>
                <w:rFonts w:ascii="宋体" w:hAnsi="宋体"/>
                <w:sz w:val="18"/>
                <w:szCs w:val="18"/>
              </w:rPr>
              <w:t>MU01A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19</w:t>
            </w:r>
          </w:p>
        </w:tc>
        <w:tc>
          <w:tcPr>
            <w:tcW w:w="255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★直流电源软件调试设备</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T</w:t>
            </w:r>
            <w:r>
              <w:rPr>
                <w:rFonts w:ascii="宋体" w:hAnsi="宋体"/>
                <w:sz w:val="18"/>
                <w:szCs w:val="18"/>
              </w:rPr>
              <w:t>HANKPAD</w:t>
            </w:r>
            <w:r>
              <w:rPr>
                <w:rFonts w:hint="eastAsia" w:ascii="宋体" w:hAnsi="宋体"/>
                <w:sz w:val="18"/>
                <w:szCs w:val="18"/>
              </w:rPr>
              <w:t xml:space="preserve"> </w:t>
            </w:r>
            <w:r>
              <w:rPr>
                <w:rFonts w:ascii="宋体" w:hAnsi="宋体"/>
                <w:sz w:val="18"/>
                <w:szCs w:val="18"/>
              </w:rPr>
              <w:t>X1 C</w:t>
            </w:r>
            <w:r>
              <w:rPr>
                <w:rFonts w:hint="eastAsia" w:ascii="宋体" w:hAnsi="宋体"/>
                <w:sz w:val="18"/>
                <w:szCs w:val="18"/>
              </w:rPr>
              <w:t>a</w:t>
            </w:r>
            <w:r>
              <w:rPr>
                <w:rFonts w:ascii="宋体" w:hAnsi="宋体"/>
                <w:sz w:val="18"/>
                <w:szCs w:val="18"/>
              </w:rPr>
              <w:t>rbon</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台</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2</w:t>
            </w:r>
          </w:p>
        </w:tc>
        <w:tc>
          <w:tcPr>
            <w:tcW w:w="3402" w:type="dxa"/>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20</w:t>
            </w:r>
          </w:p>
        </w:tc>
        <w:tc>
          <w:tcPr>
            <w:tcW w:w="255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w:t>
            </w:r>
            <w:r>
              <w:rPr>
                <w:rFonts w:ascii="宋体" w:hAnsi="宋体"/>
                <w:sz w:val="18"/>
                <w:szCs w:val="18"/>
              </w:rPr>
              <w:t>UPS</w:t>
            </w:r>
            <w:r>
              <w:rPr>
                <w:rFonts w:hint="eastAsia" w:ascii="宋体" w:hAnsi="宋体"/>
                <w:sz w:val="18"/>
                <w:szCs w:val="18"/>
              </w:rPr>
              <w:t>/配电系统与原有监控系统联调</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套</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1</w:t>
            </w:r>
          </w:p>
        </w:tc>
        <w:tc>
          <w:tcPr>
            <w:tcW w:w="3402" w:type="dxa"/>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r>
              <w:rPr>
                <w:rFonts w:hint="eastAsia" w:ascii="宋体" w:hAnsi="宋体"/>
                <w:sz w:val="18"/>
                <w:szCs w:val="18"/>
              </w:rPr>
              <w:t>★负责U</w:t>
            </w:r>
            <w:r>
              <w:rPr>
                <w:rFonts w:ascii="宋体" w:hAnsi="宋体"/>
                <w:sz w:val="18"/>
                <w:szCs w:val="18"/>
              </w:rPr>
              <w:t>PS</w:t>
            </w:r>
            <w:r>
              <w:rPr>
                <w:rFonts w:hint="eastAsia" w:ascii="宋体" w:hAnsi="宋体"/>
                <w:sz w:val="18"/>
                <w:szCs w:val="18"/>
              </w:rPr>
              <w:t>/配电系统等与原有监控系统软件调试，包含在现场软件开发等所有相关事宜，直至设备调试完成，确保所有设备正常工作，用户确认后，才可结束此联调工作。</w:t>
            </w:r>
          </w:p>
        </w:tc>
      </w:tr>
    </w:tbl>
    <w:p>
      <w:pPr>
        <w:rPr>
          <w:sz w:val="24"/>
        </w:rPr>
      </w:pPr>
    </w:p>
    <w:p>
      <w:pPr>
        <w:rPr>
          <w:sz w:val="24"/>
        </w:rPr>
      </w:pPr>
      <w:r>
        <w:rPr>
          <w:rFonts w:hint="eastAsia"/>
          <w:sz w:val="24"/>
        </w:rPr>
        <w:t>备注：</w:t>
      </w:r>
      <w:r>
        <w:rPr>
          <w:rFonts w:ascii="宋体" w:hAnsi="宋体"/>
          <w:sz w:val="24"/>
        </w:rPr>
        <w:t>.</w:t>
      </w:r>
      <w:r>
        <w:rPr>
          <w:rFonts w:hint="eastAsia" w:ascii="宋体" w:hAnsi="宋体"/>
          <w:sz w:val="24"/>
        </w:rPr>
        <w:t>★</w:t>
      </w:r>
      <w:r>
        <w:rPr>
          <w:rFonts w:hint="eastAsia"/>
        </w:rPr>
        <w:t>质量标准按照：技术规格要求</w:t>
      </w:r>
    </w:p>
    <w:p>
      <w:pPr>
        <w:spacing w:before="156" w:beforeLines="50"/>
        <w:rPr>
          <w:rFonts w:ascii="宋体" w:hAnsi="宋体"/>
          <w:sz w:val="24"/>
        </w:rPr>
      </w:pPr>
    </w:p>
    <w:p>
      <w:pPr>
        <w:spacing w:before="156" w:beforeLines="50"/>
        <w:rPr>
          <w:rFonts w:ascii="宋体" w:hAnsi="宋体"/>
          <w:sz w:val="24"/>
        </w:rPr>
      </w:pPr>
    </w:p>
    <w:p>
      <w:pPr>
        <w:spacing w:before="156" w:beforeLines="50"/>
        <w:rPr>
          <w:rFonts w:ascii="华文细黑" w:hAnsi="华文细黑" w:eastAsia="华文细黑"/>
          <w:b/>
          <w:sz w:val="24"/>
        </w:rPr>
      </w:pPr>
    </w:p>
    <w:p>
      <w:pPr>
        <w:spacing w:before="156" w:beforeLines="50"/>
        <w:rPr>
          <w:rFonts w:ascii="华文细黑" w:hAnsi="华文细黑" w:eastAsia="华文细黑"/>
          <w:b/>
          <w:sz w:val="24"/>
        </w:rPr>
      </w:pPr>
    </w:p>
    <w:p>
      <w:pPr>
        <w:spacing w:before="156" w:beforeLines="50"/>
        <w:rPr>
          <w:rFonts w:ascii="宋体" w:hAnsi="宋体"/>
          <w:b/>
          <w:sz w:val="24"/>
        </w:rPr>
      </w:pPr>
      <w:r>
        <w:rPr>
          <w:rFonts w:hint="eastAsia" w:ascii="宋体" w:hAnsi="宋体"/>
          <w:b/>
          <w:sz w:val="24"/>
        </w:rPr>
        <w:t xml:space="preserve">一、UPS供配电系统需求: </w:t>
      </w:r>
    </w:p>
    <w:p>
      <w:pPr>
        <w:spacing w:before="156" w:beforeLines="50"/>
        <w:rPr>
          <w:rFonts w:ascii="宋体" w:hAnsi="宋体"/>
          <w:sz w:val="24"/>
        </w:rPr>
      </w:pPr>
      <w:r>
        <w:rPr>
          <w:rFonts w:hint="eastAsia" w:ascii="宋体" w:hAnsi="宋体"/>
          <w:sz w:val="24"/>
        </w:rPr>
        <w:t>注：带“★”号的为关键技术指标，不允许负偏离，投标方应完整列出所投产品的技术参数及性能指标。不带“★”号的不是否决投标项</w:t>
      </w:r>
    </w:p>
    <w:p>
      <w:pPr>
        <w:spacing w:line="400" w:lineRule="exact"/>
        <w:rPr>
          <w:rFonts w:ascii="华文细黑" w:hAnsi="华文细黑" w:eastAsia="华文细黑"/>
          <w:b/>
          <w:bCs/>
          <w:color w:val="000000"/>
          <w:sz w:val="24"/>
        </w:rPr>
      </w:pPr>
    </w:p>
    <w:tbl>
      <w:tblPr>
        <w:tblStyle w:val="12"/>
        <w:tblW w:w="9498"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992"/>
        <w:gridCol w:w="7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pPr>
              <w:ind w:firstLine="360" w:firstLineChars="200"/>
              <w:rPr>
                <w:rFonts w:ascii="宋体" w:hAnsi="宋体"/>
                <w:bCs/>
                <w:color w:val="000000"/>
                <w:sz w:val="18"/>
                <w:szCs w:val="18"/>
              </w:rPr>
            </w:pPr>
            <w:r>
              <w:rPr>
                <w:rFonts w:ascii="宋体" w:hAnsi="宋体"/>
                <w:bCs/>
                <w:color w:val="000000"/>
                <w:sz w:val="18"/>
                <w:szCs w:val="18"/>
              </w:rPr>
              <w:t>项</w:t>
            </w:r>
            <w:r>
              <w:rPr>
                <w:rFonts w:hint="eastAsia" w:ascii="宋体" w:hAnsi="宋体"/>
                <w:bCs/>
                <w:color w:val="000000"/>
                <w:sz w:val="18"/>
                <w:szCs w:val="18"/>
              </w:rPr>
              <w:t xml:space="preserve"> </w:t>
            </w:r>
            <w:r>
              <w:rPr>
                <w:rFonts w:ascii="宋体" w:hAnsi="宋体"/>
                <w:bCs/>
                <w:color w:val="000000"/>
                <w:sz w:val="18"/>
                <w:szCs w:val="18"/>
              </w:rPr>
              <w:t>目</w:t>
            </w:r>
          </w:p>
        </w:tc>
        <w:tc>
          <w:tcPr>
            <w:tcW w:w="8080" w:type="dxa"/>
            <w:gridSpan w:val="2"/>
          </w:tcPr>
          <w:p>
            <w:pPr>
              <w:ind w:firstLine="2880" w:firstLineChars="1600"/>
              <w:rPr>
                <w:rFonts w:ascii="宋体" w:hAnsi="宋体"/>
                <w:bCs/>
                <w:color w:val="000000"/>
                <w:sz w:val="18"/>
                <w:szCs w:val="18"/>
              </w:rPr>
            </w:pPr>
            <w:r>
              <w:rPr>
                <w:rFonts w:hint="eastAsia" w:ascii="宋体" w:hAnsi="宋体"/>
                <w:sz w:val="18"/>
                <w:szCs w:val="18"/>
              </w:rPr>
              <w:t>技术要求（投标产品）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restart"/>
            <w:vAlign w:val="center"/>
          </w:tcPr>
          <w:p>
            <w:pPr>
              <w:jc w:val="center"/>
              <w:rPr>
                <w:rFonts w:ascii="宋体" w:hAnsi="宋体"/>
                <w:b/>
                <w:bCs/>
                <w:color w:val="000000"/>
                <w:sz w:val="18"/>
                <w:szCs w:val="18"/>
              </w:rPr>
            </w:pPr>
            <w:r>
              <w:rPr>
                <w:rFonts w:hint="eastAsia" w:ascii="宋体" w:hAnsi="宋体"/>
                <w:bCs/>
                <w:color w:val="000000"/>
                <w:sz w:val="18"/>
                <w:szCs w:val="18"/>
              </w:rPr>
              <w:t>基本要求</w:t>
            </w:r>
          </w:p>
        </w:tc>
        <w:tc>
          <w:tcPr>
            <w:tcW w:w="8080" w:type="dxa"/>
            <w:gridSpan w:val="2"/>
          </w:tcPr>
          <w:p>
            <w:pPr>
              <w:rPr>
                <w:rFonts w:ascii="宋体" w:hAnsi="宋体"/>
                <w:b/>
                <w:bCs/>
                <w:color w:val="000000"/>
                <w:sz w:val="18"/>
                <w:szCs w:val="18"/>
              </w:rPr>
            </w:pPr>
            <w:r>
              <w:rPr>
                <w:rFonts w:hint="eastAsia" w:ascii="宋体" w:hAnsi="宋体"/>
                <w:bCs/>
                <w:color w:val="000000"/>
                <w:sz w:val="18"/>
                <w:szCs w:val="18"/>
              </w:rPr>
              <w:t>★所提供设备应为一套完整的U</w:t>
            </w:r>
            <w:r>
              <w:rPr>
                <w:rFonts w:ascii="宋体" w:hAnsi="宋体"/>
                <w:bCs/>
                <w:color w:val="000000"/>
                <w:sz w:val="18"/>
                <w:szCs w:val="18"/>
              </w:rPr>
              <w:t>PS</w:t>
            </w:r>
            <w:r>
              <w:rPr>
                <w:rFonts w:hint="eastAsia" w:ascii="宋体" w:hAnsi="宋体"/>
                <w:bCs/>
                <w:color w:val="000000"/>
                <w:sz w:val="18"/>
                <w:szCs w:val="18"/>
              </w:rPr>
              <w:t>供配电系统,包括：U</w:t>
            </w:r>
            <w:r>
              <w:rPr>
                <w:rFonts w:ascii="宋体" w:hAnsi="宋体"/>
                <w:bCs/>
                <w:color w:val="000000"/>
                <w:sz w:val="18"/>
                <w:szCs w:val="18"/>
              </w:rPr>
              <w:t>PS</w:t>
            </w:r>
            <w:r>
              <w:rPr>
                <w:rFonts w:hint="eastAsia" w:ascii="宋体" w:hAnsi="宋体"/>
                <w:bCs/>
                <w:color w:val="000000"/>
                <w:sz w:val="18"/>
                <w:szCs w:val="18"/>
              </w:rPr>
              <w:t>输入/输出配电柜/</w:t>
            </w:r>
            <w:r>
              <w:rPr>
                <w:rFonts w:ascii="宋体" w:hAnsi="宋体"/>
                <w:bCs/>
                <w:color w:val="000000"/>
                <w:sz w:val="18"/>
                <w:szCs w:val="18"/>
              </w:rPr>
              <w:t>UPS</w:t>
            </w:r>
            <w:r>
              <w:rPr>
                <w:rFonts w:hint="eastAsia" w:ascii="宋体" w:hAnsi="宋体"/>
                <w:bCs/>
                <w:color w:val="000000"/>
                <w:sz w:val="18"/>
                <w:szCs w:val="18"/>
              </w:rPr>
              <w:t>功率柜/直流开关柜/</w:t>
            </w:r>
            <w:r>
              <w:rPr>
                <w:rFonts w:ascii="宋体" w:hAnsi="宋体"/>
                <w:bCs/>
                <w:color w:val="000000"/>
                <w:sz w:val="18"/>
                <w:szCs w:val="18"/>
              </w:rPr>
              <w:t>UPS</w:t>
            </w:r>
            <w:r>
              <w:rPr>
                <w:rFonts w:hint="eastAsia" w:ascii="宋体" w:hAnsi="宋体"/>
                <w:bCs/>
                <w:color w:val="000000"/>
                <w:sz w:val="18"/>
                <w:szCs w:val="18"/>
              </w:rPr>
              <w:t>监控系统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tcPr>
          <w:p>
            <w:pPr>
              <w:rPr>
                <w:rFonts w:ascii="宋体" w:hAnsi="宋体"/>
                <w:b/>
                <w:bCs/>
                <w:color w:val="000000"/>
                <w:sz w:val="18"/>
                <w:szCs w:val="18"/>
              </w:rPr>
            </w:pPr>
          </w:p>
        </w:tc>
        <w:tc>
          <w:tcPr>
            <w:tcW w:w="8080" w:type="dxa"/>
            <w:gridSpan w:val="2"/>
          </w:tcPr>
          <w:p>
            <w:pPr>
              <w:rPr>
                <w:rFonts w:ascii="华文细黑" w:hAnsi="华文细黑" w:eastAsia="华文细黑"/>
                <w:b/>
                <w:sz w:val="24"/>
              </w:rPr>
            </w:pPr>
            <w:r>
              <w:rPr>
                <w:rFonts w:hint="eastAsia" w:ascii="宋体" w:hAnsi="宋体"/>
                <w:bCs/>
                <w:color w:val="000000"/>
                <w:sz w:val="18"/>
                <w:szCs w:val="18"/>
              </w:rPr>
              <w:t>★UPS系统为冗余(N+X)机构,以保证系统不会由于单点故障造成供电系统宕机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tcPr>
          <w:p>
            <w:pPr>
              <w:rPr>
                <w:rFonts w:ascii="宋体" w:hAnsi="宋体"/>
                <w:b/>
                <w:bCs/>
                <w:color w:val="000000"/>
                <w:sz w:val="18"/>
                <w:szCs w:val="18"/>
              </w:rPr>
            </w:pPr>
          </w:p>
        </w:tc>
        <w:tc>
          <w:tcPr>
            <w:tcW w:w="8080" w:type="dxa"/>
            <w:gridSpan w:val="2"/>
          </w:tcPr>
          <w:p>
            <w:pPr>
              <w:rPr>
                <w:rFonts w:ascii="宋体" w:hAnsi="宋体"/>
                <w:bCs/>
                <w:color w:val="000000"/>
                <w:sz w:val="18"/>
                <w:szCs w:val="18"/>
              </w:rPr>
            </w:pPr>
            <w:r>
              <w:rPr>
                <w:rFonts w:hint="eastAsia" w:ascii="宋体" w:hAnsi="宋体"/>
                <w:bCs/>
                <w:color w:val="000000"/>
                <w:sz w:val="18"/>
                <w:szCs w:val="18"/>
              </w:rPr>
              <w:t>★UPS系统可以实现平滑扩容, 最大可以扩容到500KW.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tcPr>
          <w:p>
            <w:pPr>
              <w:rPr>
                <w:rFonts w:ascii="宋体" w:hAnsi="宋体"/>
                <w:b/>
                <w:bCs/>
                <w:color w:val="000000"/>
                <w:sz w:val="18"/>
                <w:szCs w:val="18"/>
              </w:rPr>
            </w:pPr>
          </w:p>
        </w:tc>
        <w:tc>
          <w:tcPr>
            <w:tcW w:w="8080" w:type="dxa"/>
            <w:gridSpan w:val="2"/>
          </w:tcPr>
          <w:p>
            <w:pPr>
              <w:rPr>
                <w:rFonts w:ascii="宋体" w:hAnsi="宋体"/>
                <w:bCs/>
                <w:color w:val="000000"/>
                <w:sz w:val="18"/>
                <w:szCs w:val="18"/>
              </w:rPr>
            </w:pPr>
            <w:r>
              <w:rPr>
                <w:rFonts w:hint="eastAsia" w:ascii="宋体" w:hAnsi="宋体"/>
                <w:bCs/>
                <w:color w:val="000000"/>
                <w:sz w:val="18"/>
                <w:szCs w:val="18"/>
              </w:rPr>
              <w:t>★强调系统的快速恢复功能, 在发生故障时,提供提供快速修复手段(例如: 在线热插拔等功能)能够迅速实现系统的恢复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tcPr>
          <w:p>
            <w:pPr>
              <w:rPr>
                <w:rFonts w:ascii="宋体" w:hAnsi="宋体"/>
                <w:b/>
                <w:bCs/>
                <w:color w:val="000000"/>
                <w:sz w:val="18"/>
                <w:szCs w:val="18"/>
              </w:rPr>
            </w:pPr>
          </w:p>
        </w:tc>
        <w:tc>
          <w:tcPr>
            <w:tcW w:w="8080" w:type="dxa"/>
            <w:gridSpan w:val="2"/>
          </w:tcPr>
          <w:p>
            <w:pPr>
              <w:rPr>
                <w:rFonts w:ascii="宋体" w:hAnsi="宋体"/>
                <w:bCs/>
                <w:color w:val="000000"/>
                <w:sz w:val="18"/>
                <w:szCs w:val="18"/>
              </w:rPr>
            </w:pPr>
            <w:r>
              <w:rPr>
                <w:rFonts w:hint="eastAsia" w:ascii="宋体" w:hAnsi="宋体"/>
                <w:bCs/>
                <w:color w:val="000000"/>
                <w:sz w:val="18"/>
                <w:szCs w:val="18"/>
              </w:rPr>
              <w:t>★配套调试设备：T</w:t>
            </w:r>
            <w:r>
              <w:rPr>
                <w:rFonts w:ascii="宋体" w:hAnsi="宋体"/>
                <w:bCs/>
                <w:color w:val="000000"/>
                <w:sz w:val="18"/>
                <w:szCs w:val="18"/>
              </w:rPr>
              <w:t>HANKPAD</w:t>
            </w:r>
            <w:r>
              <w:rPr>
                <w:rFonts w:hint="eastAsia" w:ascii="宋体" w:hAnsi="宋体"/>
                <w:bCs/>
                <w:color w:val="000000"/>
                <w:sz w:val="18"/>
                <w:szCs w:val="18"/>
              </w:rPr>
              <w:t xml:space="preserve"> </w:t>
            </w:r>
            <w:r>
              <w:rPr>
                <w:rFonts w:ascii="宋体" w:hAnsi="宋体"/>
                <w:bCs/>
                <w:color w:val="000000"/>
                <w:sz w:val="18"/>
                <w:szCs w:val="18"/>
              </w:rPr>
              <w:t>X1 C</w:t>
            </w:r>
            <w:r>
              <w:rPr>
                <w:rFonts w:hint="eastAsia" w:ascii="宋体" w:hAnsi="宋体"/>
                <w:bCs/>
                <w:color w:val="000000"/>
                <w:sz w:val="18"/>
                <w:szCs w:val="18"/>
              </w:rPr>
              <w:t>a</w:t>
            </w:r>
            <w:r>
              <w:rPr>
                <w:rFonts w:ascii="宋体" w:hAnsi="宋体"/>
                <w:bCs/>
                <w:color w:val="000000"/>
                <w:sz w:val="18"/>
                <w:szCs w:val="18"/>
              </w:rPr>
              <w:t>rbon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restart"/>
            <w:vAlign w:val="center"/>
          </w:tcPr>
          <w:p>
            <w:pPr>
              <w:rPr>
                <w:rFonts w:ascii="宋体" w:hAnsi="宋体"/>
                <w:bCs/>
                <w:color w:val="000000"/>
                <w:sz w:val="18"/>
                <w:szCs w:val="18"/>
              </w:rPr>
            </w:pPr>
            <w:r>
              <w:rPr>
                <w:rFonts w:hint="eastAsia" w:ascii="宋体" w:hAnsi="宋体"/>
                <w:bCs/>
                <w:color w:val="000000"/>
                <w:sz w:val="18"/>
                <w:szCs w:val="18"/>
              </w:rPr>
              <w:t>部件组成</w:t>
            </w:r>
          </w:p>
          <w:p>
            <w:pPr>
              <w:rPr>
                <w:rFonts w:ascii="宋体" w:hAnsi="宋体"/>
                <w:sz w:val="18"/>
                <w:szCs w:val="18"/>
              </w:rPr>
            </w:pPr>
          </w:p>
        </w:tc>
        <w:tc>
          <w:tcPr>
            <w:tcW w:w="992" w:type="dxa"/>
            <w:vMerge w:val="restart"/>
            <w:vAlign w:val="center"/>
          </w:tcPr>
          <w:p>
            <w:pPr>
              <w:rPr>
                <w:rFonts w:ascii="宋体" w:hAnsi="宋体"/>
                <w:bCs/>
                <w:color w:val="000000"/>
                <w:sz w:val="18"/>
                <w:szCs w:val="18"/>
              </w:rPr>
            </w:pPr>
            <w:r>
              <w:rPr>
                <w:rFonts w:hint="eastAsia" w:ascii="宋体" w:hAnsi="宋体"/>
                <w:bCs/>
                <w:color w:val="000000"/>
                <w:sz w:val="18"/>
                <w:szCs w:val="18"/>
              </w:rPr>
              <w:t>UPS功率柜</w:t>
            </w:r>
          </w:p>
        </w:tc>
        <w:tc>
          <w:tcPr>
            <w:tcW w:w="7088" w:type="dxa"/>
          </w:tcPr>
          <w:p>
            <w:pPr>
              <w:rPr>
                <w:rFonts w:ascii="宋体" w:hAnsi="宋体"/>
                <w:b/>
                <w:bCs/>
                <w:color w:val="000000"/>
                <w:sz w:val="18"/>
                <w:szCs w:val="18"/>
              </w:rPr>
            </w:pPr>
            <w:r>
              <w:rPr>
                <w:rFonts w:hint="eastAsia" w:ascii="宋体" w:hAnsi="宋体"/>
                <w:bCs/>
                <w:color w:val="000000"/>
                <w:sz w:val="18"/>
                <w:szCs w:val="18"/>
              </w:rPr>
              <w:t>★单机柜最大功率输出≥250kW，单系统能达到的最大输出功率≥500kW，具有系统级并联功能，最大输出可以达到2000KW。UPS系统初始配置功率</w:t>
            </w:r>
            <w:r>
              <w:rPr>
                <w:rFonts w:ascii="宋体" w:hAnsi="宋体"/>
                <w:bCs/>
                <w:color w:val="000000"/>
                <w:sz w:val="18"/>
                <w:szCs w:val="18"/>
              </w:rPr>
              <w:t xml:space="preserve">300 </w:t>
            </w:r>
            <w:r>
              <w:rPr>
                <w:rFonts w:hint="eastAsia" w:ascii="宋体" w:hAnsi="宋体"/>
                <w:bCs/>
                <w:color w:val="000000"/>
                <w:sz w:val="18"/>
                <w:szCs w:val="18"/>
              </w:rPr>
              <w:t>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tcPr>
          <w:p>
            <w:pPr>
              <w:rPr>
                <w:rFonts w:ascii="宋体" w:hAnsi="宋体"/>
                <w:b/>
                <w:bCs/>
                <w:color w:val="000000"/>
                <w:sz w:val="18"/>
                <w:szCs w:val="18"/>
              </w:rPr>
            </w:pPr>
          </w:p>
        </w:tc>
        <w:tc>
          <w:tcPr>
            <w:tcW w:w="992" w:type="dxa"/>
            <w:vMerge w:val="continue"/>
          </w:tcPr>
          <w:p>
            <w:pPr>
              <w:rPr>
                <w:rFonts w:ascii="宋体" w:hAnsi="宋体"/>
                <w:b/>
                <w:bCs/>
                <w:color w:val="000000"/>
                <w:sz w:val="18"/>
                <w:szCs w:val="18"/>
              </w:rPr>
            </w:pPr>
          </w:p>
        </w:tc>
        <w:tc>
          <w:tcPr>
            <w:tcW w:w="7088" w:type="dxa"/>
          </w:tcPr>
          <w:p>
            <w:pPr>
              <w:rPr>
                <w:rFonts w:ascii="宋体" w:hAnsi="宋体"/>
                <w:b/>
                <w:bCs/>
                <w:color w:val="000000"/>
                <w:sz w:val="18"/>
                <w:szCs w:val="18"/>
              </w:rPr>
            </w:pPr>
            <w:r>
              <w:rPr>
                <w:rFonts w:hint="eastAsia" w:ascii="宋体" w:hAnsi="宋体"/>
                <w:bCs/>
                <w:color w:val="000000"/>
                <w:sz w:val="18"/>
                <w:szCs w:val="18"/>
              </w:rPr>
              <w:t>★要求柜体内部输入/输出，交流/直流功率母线均采用铜排母线方式，且柜内各功率模块与输入/输出，交流/直流功率母线间的连接同样采用铜排连接方式（包括功率模块之间，输入输出断路器与功率模块之间，直流开关与功率模块直流母线之间），不允许采用线缆连接方式，以便实现各功率模块间的均衡输出，减少并机环流。要求提供产品图片展示相关功率模块连接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tcPr>
          <w:p>
            <w:pPr>
              <w:rPr>
                <w:rFonts w:ascii="宋体" w:hAnsi="宋体"/>
                <w:b/>
                <w:bCs/>
                <w:color w:val="000000"/>
                <w:sz w:val="18"/>
                <w:szCs w:val="18"/>
              </w:rPr>
            </w:pPr>
          </w:p>
        </w:tc>
        <w:tc>
          <w:tcPr>
            <w:tcW w:w="992" w:type="dxa"/>
            <w:vMerge w:val="continue"/>
          </w:tcPr>
          <w:p>
            <w:pPr>
              <w:rPr>
                <w:rFonts w:ascii="宋体" w:hAnsi="宋体"/>
                <w:b/>
                <w:bCs/>
                <w:color w:val="000000"/>
                <w:sz w:val="18"/>
                <w:szCs w:val="18"/>
              </w:rPr>
            </w:pPr>
          </w:p>
        </w:tc>
        <w:tc>
          <w:tcPr>
            <w:tcW w:w="7088" w:type="dxa"/>
          </w:tcPr>
          <w:p>
            <w:pPr>
              <w:rPr>
                <w:rFonts w:ascii="宋体" w:hAnsi="宋体"/>
                <w:b/>
                <w:bCs/>
                <w:color w:val="000000"/>
                <w:sz w:val="18"/>
                <w:szCs w:val="18"/>
              </w:rPr>
            </w:pPr>
            <w:r>
              <w:rPr>
                <w:rFonts w:hint="eastAsia" w:ascii="宋体" w:hAnsi="宋体"/>
                <w:bCs/>
                <w:color w:val="000000"/>
                <w:sz w:val="18"/>
                <w:szCs w:val="18"/>
              </w:rPr>
              <w:t>★每个功率模块额定容量为25KW；允许对各功率模块在线热更换。通过采用（N+X）的配置方式，实现冗余功能，保证系统在单个模块出现故障时，仍能够正常工作，正常情况下所有模块均分负载，任一模块的故障均不会造成系统运行的中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tcPr>
          <w:p>
            <w:pPr>
              <w:rPr>
                <w:rFonts w:ascii="宋体" w:hAnsi="宋体"/>
                <w:b/>
                <w:bCs/>
                <w:color w:val="000000"/>
                <w:sz w:val="18"/>
                <w:szCs w:val="18"/>
              </w:rPr>
            </w:pPr>
          </w:p>
        </w:tc>
        <w:tc>
          <w:tcPr>
            <w:tcW w:w="992" w:type="dxa"/>
            <w:vMerge w:val="continue"/>
          </w:tcPr>
          <w:p>
            <w:pPr>
              <w:rPr>
                <w:rFonts w:ascii="宋体" w:hAnsi="宋体"/>
                <w:b/>
                <w:bCs/>
                <w:color w:val="000000"/>
                <w:sz w:val="18"/>
                <w:szCs w:val="18"/>
              </w:rPr>
            </w:pPr>
          </w:p>
        </w:tc>
        <w:tc>
          <w:tcPr>
            <w:tcW w:w="7088" w:type="dxa"/>
          </w:tcPr>
          <w:p>
            <w:pPr>
              <w:rPr>
                <w:rFonts w:ascii="宋体" w:hAnsi="宋体"/>
                <w:b/>
                <w:bCs/>
                <w:color w:val="000000"/>
                <w:sz w:val="18"/>
                <w:szCs w:val="18"/>
              </w:rPr>
            </w:pPr>
            <w:r>
              <w:rPr>
                <w:rFonts w:hint="eastAsia" w:ascii="宋体" w:hAnsi="宋体"/>
                <w:bCs/>
                <w:color w:val="000000"/>
                <w:sz w:val="18"/>
                <w:szCs w:val="18"/>
              </w:rPr>
              <w:t>★功率柜外形与服务器机柜一致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tcPr>
          <w:p>
            <w:pPr>
              <w:rPr>
                <w:rFonts w:ascii="宋体" w:hAnsi="宋体"/>
                <w:b/>
                <w:bCs/>
                <w:color w:val="000000"/>
                <w:sz w:val="18"/>
                <w:szCs w:val="18"/>
              </w:rPr>
            </w:pPr>
          </w:p>
        </w:tc>
        <w:tc>
          <w:tcPr>
            <w:tcW w:w="992" w:type="dxa"/>
            <w:vMerge w:val="restart"/>
            <w:vAlign w:val="center"/>
          </w:tcPr>
          <w:p>
            <w:pPr>
              <w:rPr>
                <w:rFonts w:ascii="宋体" w:hAnsi="宋体"/>
                <w:bCs/>
                <w:color w:val="000000"/>
                <w:sz w:val="18"/>
                <w:szCs w:val="18"/>
              </w:rPr>
            </w:pPr>
            <w:r>
              <w:rPr>
                <w:rFonts w:hint="eastAsia" w:ascii="宋体" w:hAnsi="宋体"/>
                <w:bCs/>
                <w:color w:val="000000"/>
                <w:sz w:val="18"/>
                <w:szCs w:val="18"/>
              </w:rPr>
              <w:t>UPS系统输入/静态旁路柜</w:t>
            </w:r>
          </w:p>
        </w:tc>
        <w:tc>
          <w:tcPr>
            <w:tcW w:w="7088" w:type="dxa"/>
          </w:tcPr>
          <w:p>
            <w:pPr>
              <w:rPr>
                <w:rFonts w:ascii="宋体" w:hAnsi="宋体"/>
                <w:b/>
                <w:bCs/>
                <w:color w:val="000000"/>
                <w:sz w:val="18"/>
                <w:szCs w:val="18"/>
              </w:rPr>
            </w:pPr>
            <w:r>
              <w:rPr>
                <w:rFonts w:hint="eastAsia" w:ascii="宋体" w:hAnsi="宋体"/>
                <w:bCs/>
                <w:color w:val="000000"/>
                <w:sz w:val="18"/>
                <w:szCs w:val="18"/>
              </w:rPr>
              <w:t>★ 系统集中静态旁路单元(容量:≥ 500KW)：</w:t>
            </w:r>
            <w:r>
              <w:rPr>
                <w:rFonts w:ascii="宋体" w:hAnsi="宋体"/>
                <w:bCs/>
                <w:color w:val="000000"/>
                <w:sz w:val="18"/>
                <w:szCs w:val="18"/>
              </w:rPr>
              <w:t>UPS供电系统</w:t>
            </w:r>
            <w:r>
              <w:rPr>
                <w:rFonts w:hint="eastAsia" w:ascii="宋体" w:hAnsi="宋体"/>
                <w:bCs/>
                <w:color w:val="000000"/>
                <w:sz w:val="18"/>
                <w:szCs w:val="18"/>
              </w:rPr>
              <w:t>采用独立的公用静态旁路模块，静态旁路模块应能实现在线热插拔功能，能够满足在线更换并不影响</w:t>
            </w:r>
            <w:r>
              <w:rPr>
                <w:rFonts w:ascii="宋体" w:hAnsi="宋体"/>
                <w:bCs/>
                <w:color w:val="000000"/>
                <w:sz w:val="18"/>
                <w:szCs w:val="18"/>
              </w:rPr>
              <w:t>UPS</w:t>
            </w:r>
            <w:r>
              <w:rPr>
                <w:rFonts w:hint="eastAsia" w:ascii="宋体" w:hAnsi="宋体"/>
                <w:bCs/>
                <w:color w:val="000000"/>
                <w:sz w:val="18"/>
                <w:szCs w:val="18"/>
              </w:rPr>
              <w:t>的正常运行。不采用在每个功率模块内部设计小容量静态旁路的结构，以避免转旁路时多个旁路不均流而造成的过载损坏。在投标文件中要求提供产品图片展示相关部件并提供电源系统拓扑图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tcPr>
          <w:p>
            <w:pPr>
              <w:rPr>
                <w:rFonts w:ascii="宋体" w:hAnsi="宋体"/>
                <w:b/>
                <w:bCs/>
                <w:color w:val="000000"/>
                <w:sz w:val="18"/>
                <w:szCs w:val="18"/>
              </w:rPr>
            </w:pPr>
          </w:p>
        </w:tc>
        <w:tc>
          <w:tcPr>
            <w:tcW w:w="992" w:type="dxa"/>
            <w:vMerge w:val="continue"/>
          </w:tcPr>
          <w:p>
            <w:pPr>
              <w:rPr>
                <w:rFonts w:ascii="宋体" w:hAnsi="宋体"/>
                <w:b/>
                <w:bCs/>
                <w:color w:val="000000"/>
                <w:sz w:val="18"/>
                <w:szCs w:val="18"/>
              </w:rPr>
            </w:pPr>
          </w:p>
        </w:tc>
        <w:tc>
          <w:tcPr>
            <w:tcW w:w="7088" w:type="dxa"/>
          </w:tcPr>
          <w:p>
            <w:pPr>
              <w:rPr>
                <w:rFonts w:ascii="宋体" w:hAnsi="宋体"/>
                <w:b/>
                <w:bCs/>
                <w:color w:val="000000"/>
                <w:sz w:val="18"/>
                <w:szCs w:val="18"/>
              </w:rPr>
            </w:pPr>
            <w:r>
              <w:rPr>
                <w:rFonts w:hint="eastAsia" w:ascii="宋体" w:hAnsi="宋体"/>
                <w:bCs/>
                <w:color w:val="000000"/>
                <w:sz w:val="18"/>
                <w:szCs w:val="18"/>
              </w:rPr>
              <w:t>★系统主输入开关单元：满足至少500</w:t>
            </w:r>
            <w:r>
              <w:rPr>
                <w:rFonts w:ascii="宋体" w:hAnsi="宋体"/>
                <w:bCs/>
                <w:color w:val="000000"/>
                <w:sz w:val="18"/>
                <w:szCs w:val="18"/>
              </w:rPr>
              <w:t>KW</w:t>
            </w:r>
            <w:r>
              <w:rPr>
                <w:rFonts w:hint="eastAsia" w:ascii="宋体" w:hAnsi="宋体"/>
                <w:bCs/>
                <w:color w:val="000000"/>
                <w:sz w:val="18"/>
                <w:szCs w:val="18"/>
              </w:rPr>
              <w:t>的U</w:t>
            </w:r>
            <w:r>
              <w:rPr>
                <w:rFonts w:ascii="宋体" w:hAnsi="宋体"/>
                <w:bCs/>
                <w:color w:val="000000"/>
                <w:sz w:val="18"/>
                <w:szCs w:val="18"/>
              </w:rPr>
              <w:t>PS</w:t>
            </w:r>
            <w:r>
              <w:rPr>
                <w:rFonts w:hint="eastAsia" w:ascii="宋体" w:hAnsi="宋体"/>
                <w:bCs/>
                <w:color w:val="000000"/>
                <w:sz w:val="18"/>
                <w:szCs w:val="18"/>
              </w:rPr>
              <w:t>输入需求（Schneider,ABB等国际知名品牌框架式开关）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tcPr>
          <w:p>
            <w:pPr>
              <w:rPr>
                <w:rFonts w:ascii="宋体" w:hAnsi="宋体"/>
                <w:b/>
                <w:bCs/>
                <w:color w:val="000000"/>
                <w:sz w:val="18"/>
                <w:szCs w:val="18"/>
              </w:rPr>
            </w:pPr>
          </w:p>
        </w:tc>
        <w:tc>
          <w:tcPr>
            <w:tcW w:w="992" w:type="dxa"/>
            <w:vMerge w:val="restart"/>
            <w:vAlign w:val="center"/>
          </w:tcPr>
          <w:p>
            <w:pPr>
              <w:rPr>
                <w:rFonts w:ascii="宋体" w:hAnsi="宋体"/>
                <w:b/>
                <w:bCs/>
                <w:color w:val="000000"/>
                <w:sz w:val="18"/>
                <w:szCs w:val="18"/>
              </w:rPr>
            </w:pPr>
            <w:r>
              <w:rPr>
                <w:rFonts w:hint="eastAsia" w:ascii="宋体" w:hAnsi="宋体"/>
                <w:bCs/>
                <w:color w:val="000000"/>
                <w:sz w:val="18"/>
                <w:szCs w:val="18"/>
              </w:rPr>
              <w:t>UPS输出/维护旁路柜</w:t>
            </w:r>
          </w:p>
        </w:tc>
        <w:tc>
          <w:tcPr>
            <w:tcW w:w="7088" w:type="dxa"/>
          </w:tcPr>
          <w:p>
            <w:pPr>
              <w:rPr>
                <w:rFonts w:ascii="宋体" w:hAnsi="宋体"/>
                <w:b/>
                <w:bCs/>
                <w:color w:val="000000"/>
                <w:sz w:val="18"/>
                <w:szCs w:val="18"/>
              </w:rPr>
            </w:pPr>
            <w:r>
              <w:rPr>
                <w:rFonts w:hint="eastAsia" w:ascii="宋体" w:hAnsi="宋体"/>
                <w:bCs/>
                <w:color w:val="000000"/>
                <w:sz w:val="18"/>
                <w:szCs w:val="18"/>
              </w:rPr>
              <w:t>★U</w:t>
            </w:r>
            <w:r>
              <w:rPr>
                <w:rFonts w:ascii="宋体" w:hAnsi="宋体"/>
                <w:bCs/>
                <w:color w:val="000000"/>
                <w:sz w:val="18"/>
                <w:szCs w:val="18"/>
              </w:rPr>
              <w:t>PS</w:t>
            </w:r>
            <w:r>
              <w:rPr>
                <w:rFonts w:hint="eastAsia" w:ascii="宋体" w:hAnsi="宋体"/>
                <w:bCs/>
                <w:color w:val="000000"/>
                <w:sz w:val="18"/>
                <w:szCs w:val="18"/>
              </w:rPr>
              <w:t>手动维护旁路：为保障UPS电源的高可靠性，必须为</w:t>
            </w:r>
            <w:r>
              <w:rPr>
                <w:rFonts w:ascii="宋体" w:hAnsi="宋体"/>
                <w:bCs/>
                <w:color w:val="000000"/>
                <w:sz w:val="18"/>
                <w:szCs w:val="18"/>
              </w:rPr>
              <w:t>UPS</w:t>
            </w:r>
            <w:r>
              <w:rPr>
                <w:rFonts w:hint="eastAsia" w:ascii="宋体" w:hAnsi="宋体"/>
                <w:bCs/>
                <w:color w:val="000000"/>
                <w:sz w:val="18"/>
                <w:szCs w:val="18"/>
              </w:rPr>
              <w:t>电源配置维护旁路系统，且可以通过数字监控模块上传信息，监控信息内容主要包括维护旁路的工作状态等，以保证维护旁路与静态旁路/主回路互切的安全。开关容量按照500KW配置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tcPr>
          <w:p>
            <w:pPr>
              <w:rPr>
                <w:rFonts w:ascii="宋体" w:hAnsi="宋体"/>
                <w:b/>
                <w:bCs/>
                <w:color w:val="000000"/>
                <w:sz w:val="18"/>
                <w:szCs w:val="18"/>
              </w:rPr>
            </w:pPr>
          </w:p>
        </w:tc>
        <w:tc>
          <w:tcPr>
            <w:tcW w:w="992" w:type="dxa"/>
            <w:vMerge w:val="continue"/>
          </w:tcPr>
          <w:p>
            <w:pPr>
              <w:rPr>
                <w:rFonts w:ascii="宋体" w:hAnsi="宋体"/>
                <w:b/>
                <w:bCs/>
                <w:color w:val="000000"/>
                <w:sz w:val="18"/>
                <w:szCs w:val="18"/>
              </w:rPr>
            </w:pPr>
          </w:p>
        </w:tc>
        <w:tc>
          <w:tcPr>
            <w:tcW w:w="7088" w:type="dxa"/>
          </w:tcPr>
          <w:p>
            <w:pPr>
              <w:ind w:right="210"/>
              <w:rPr>
                <w:rFonts w:ascii="宋体" w:hAnsi="宋体"/>
                <w:bCs/>
                <w:color w:val="000000"/>
                <w:sz w:val="18"/>
                <w:szCs w:val="18"/>
              </w:rPr>
            </w:pPr>
            <w:r>
              <w:rPr>
                <w:rFonts w:hint="eastAsia" w:ascii="宋体" w:hAnsi="宋体"/>
                <w:bCs/>
                <w:color w:val="000000"/>
                <w:sz w:val="18"/>
                <w:szCs w:val="18"/>
              </w:rPr>
              <w:t>★</w:t>
            </w:r>
            <w:r>
              <w:rPr>
                <w:rFonts w:ascii="宋体" w:hAnsi="宋体"/>
                <w:bCs/>
                <w:color w:val="000000"/>
                <w:sz w:val="18"/>
                <w:szCs w:val="18"/>
              </w:rPr>
              <w:t>UPS</w:t>
            </w:r>
            <w:r>
              <w:rPr>
                <w:rFonts w:hint="eastAsia" w:ascii="宋体" w:hAnsi="宋体"/>
                <w:bCs/>
                <w:color w:val="000000"/>
                <w:sz w:val="18"/>
                <w:szCs w:val="18"/>
              </w:rPr>
              <w:t>输出配电：</w:t>
            </w:r>
          </w:p>
          <w:p>
            <w:pPr>
              <w:ind w:right="210"/>
              <w:rPr>
                <w:rFonts w:ascii="宋体" w:hAnsi="宋体"/>
                <w:bCs/>
                <w:color w:val="000000"/>
                <w:sz w:val="18"/>
                <w:szCs w:val="18"/>
              </w:rPr>
            </w:pPr>
            <w:r>
              <w:rPr>
                <w:rFonts w:ascii="宋体" w:hAnsi="宋体"/>
                <w:bCs/>
                <w:color w:val="000000"/>
                <w:sz w:val="18"/>
                <w:szCs w:val="18"/>
              </w:rPr>
              <w:t>1.</w:t>
            </w:r>
            <w:r>
              <w:rPr>
                <w:rFonts w:hint="eastAsia" w:ascii="宋体" w:hAnsi="宋体"/>
                <w:bCs/>
                <w:color w:val="000000"/>
                <w:sz w:val="18"/>
                <w:szCs w:val="18"/>
              </w:rPr>
              <w:t xml:space="preserve">输出回路：根据具体图纸确定。   </w:t>
            </w:r>
          </w:p>
          <w:p>
            <w:pPr>
              <w:ind w:right="210"/>
              <w:rPr>
                <w:rFonts w:ascii="宋体" w:hAnsi="宋体"/>
                <w:bCs/>
                <w:color w:val="000000"/>
                <w:sz w:val="18"/>
                <w:szCs w:val="18"/>
              </w:rPr>
            </w:pPr>
            <w:r>
              <w:rPr>
                <w:rFonts w:ascii="宋体" w:hAnsi="宋体"/>
                <w:bCs/>
                <w:color w:val="000000"/>
                <w:sz w:val="18"/>
                <w:szCs w:val="18"/>
              </w:rPr>
              <w:t>2.</w:t>
            </w:r>
            <w:r>
              <w:rPr>
                <w:rFonts w:hint="eastAsia" w:ascii="宋体" w:hAnsi="宋体"/>
                <w:bCs/>
                <w:color w:val="000000"/>
                <w:sz w:val="18"/>
                <w:szCs w:val="18"/>
              </w:rPr>
              <w:t>可以通过数字监控模块上传信息，监控信息内容包括：每个输出断路器的闭合/断开状态及电流/电压参数等。</w:t>
            </w:r>
          </w:p>
          <w:p>
            <w:pPr>
              <w:ind w:right="210"/>
              <w:rPr>
                <w:rFonts w:ascii="宋体" w:hAnsi="宋体"/>
                <w:bCs/>
                <w:color w:val="000000"/>
                <w:sz w:val="18"/>
                <w:szCs w:val="18"/>
              </w:rPr>
            </w:pPr>
            <w:r>
              <w:rPr>
                <w:rFonts w:ascii="宋体" w:hAnsi="宋体"/>
                <w:bCs/>
                <w:color w:val="000000"/>
                <w:sz w:val="18"/>
                <w:szCs w:val="18"/>
              </w:rPr>
              <w:t xml:space="preserve"> 3.</w:t>
            </w:r>
            <w:r>
              <w:rPr>
                <w:rFonts w:hint="eastAsia" w:ascii="宋体" w:hAnsi="宋体"/>
                <w:bCs/>
                <w:color w:val="000000"/>
                <w:sz w:val="18"/>
                <w:szCs w:val="18"/>
              </w:rPr>
              <w:t>柜体与UPS主机柜保持一致，并且由于该柜的重要性，必须为配电柜门配置一个门禁，以便管理员实时了解是否有人未经授权打开配电柜门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tcPr>
          <w:p>
            <w:pPr>
              <w:rPr>
                <w:rFonts w:ascii="宋体" w:hAnsi="宋体"/>
                <w:b/>
                <w:bCs/>
                <w:color w:val="000000"/>
                <w:sz w:val="18"/>
                <w:szCs w:val="18"/>
              </w:rPr>
            </w:pPr>
          </w:p>
        </w:tc>
        <w:tc>
          <w:tcPr>
            <w:tcW w:w="992" w:type="dxa"/>
            <w:vMerge w:val="restart"/>
            <w:vAlign w:val="center"/>
          </w:tcPr>
          <w:p>
            <w:pPr>
              <w:ind w:right="210"/>
              <w:rPr>
                <w:rFonts w:ascii="宋体" w:hAnsi="宋体"/>
                <w:bCs/>
                <w:color w:val="000000"/>
                <w:sz w:val="18"/>
                <w:szCs w:val="18"/>
              </w:rPr>
            </w:pPr>
          </w:p>
          <w:p>
            <w:pPr>
              <w:ind w:right="210"/>
              <w:rPr>
                <w:rFonts w:ascii="宋体" w:hAnsi="宋体"/>
                <w:b/>
                <w:bCs/>
                <w:color w:val="000000"/>
                <w:sz w:val="18"/>
                <w:szCs w:val="18"/>
              </w:rPr>
            </w:pPr>
            <w:r>
              <w:rPr>
                <w:rFonts w:ascii="宋体" w:hAnsi="宋体"/>
                <w:bCs/>
                <w:color w:val="000000"/>
                <w:sz w:val="18"/>
                <w:szCs w:val="18"/>
              </w:rPr>
              <w:t>UPS</w:t>
            </w:r>
            <w:r>
              <w:rPr>
                <w:rFonts w:hint="eastAsia" w:ascii="宋体" w:hAnsi="宋体"/>
                <w:bCs/>
                <w:color w:val="000000"/>
                <w:sz w:val="18"/>
                <w:szCs w:val="18"/>
              </w:rPr>
              <w:t>直流开关柜</w:t>
            </w:r>
          </w:p>
        </w:tc>
        <w:tc>
          <w:tcPr>
            <w:tcW w:w="7088" w:type="dxa"/>
          </w:tcPr>
          <w:p>
            <w:pPr>
              <w:ind w:right="210"/>
              <w:rPr>
                <w:rFonts w:ascii="宋体" w:hAnsi="宋体"/>
                <w:bCs/>
                <w:color w:val="000000"/>
                <w:sz w:val="18"/>
                <w:szCs w:val="18"/>
              </w:rPr>
            </w:pPr>
            <w:r>
              <w:rPr>
                <w:rFonts w:hint="eastAsia" w:ascii="宋体" w:hAnsi="宋体"/>
                <w:bCs/>
                <w:color w:val="000000"/>
                <w:sz w:val="18"/>
                <w:szCs w:val="18"/>
              </w:rPr>
              <w:t>★直流开关：投标人根据所投标产品特点为UPS电源配置直流开关，直流开关容量必须满足至少500</w:t>
            </w:r>
            <w:r>
              <w:rPr>
                <w:rFonts w:ascii="宋体" w:hAnsi="宋体"/>
                <w:bCs/>
                <w:color w:val="000000"/>
                <w:sz w:val="18"/>
                <w:szCs w:val="18"/>
              </w:rPr>
              <w:t>KVA/KW</w:t>
            </w:r>
            <w:r>
              <w:rPr>
                <w:rFonts w:hint="eastAsia" w:ascii="宋体" w:hAnsi="宋体"/>
                <w:bCs/>
                <w:color w:val="000000"/>
                <w:sz w:val="18"/>
                <w:szCs w:val="18"/>
              </w:rPr>
              <w:t>额定输出的需求，直流开关品牌为Schneider,ABB等国际知名品牌，且必须有DC标志的专用直流开关，不允许采用交直流混用开关，也不允许采用多个小容量直流开关并联使用；直流开关必须具备脱扣功能，与UPS系统控制板连接实现对电池组的分断保护。投标人必须在投标文件中明确标识直流开关的型号/生产厂家/容量等技术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tcPr>
          <w:p>
            <w:pPr>
              <w:rPr>
                <w:rFonts w:ascii="宋体" w:hAnsi="宋体"/>
                <w:b/>
                <w:bCs/>
                <w:color w:val="000000"/>
                <w:sz w:val="18"/>
                <w:szCs w:val="18"/>
              </w:rPr>
            </w:pPr>
          </w:p>
        </w:tc>
        <w:tc>
          <w:tcPr>
            <w:tcW w:w="992" w:type="dxa"/>
            <w:vMerge w:val="continue"/>
          </w:tcPr>
          <w:p>
            <w:pPr>
              <w:rPr>
                <w:rFonts w:ascii="宋体" w:hAnsi="宋体"/>
                <w:b/>
                <w:bCs/>
                <w:color w:val="000000"/>
                <w:sz w:val="18"/>
                <w:szCs w:val="18"/>
              </w:rPr>
            </w:pPr>
          </w:p>
        </w:tc>
        <w:tc>
          <w:tcPr>
            <w:tcW w:w="7088" w:type="dxa"/>
          </w:tcPr>
          <w:p>
            <w:pPr>
              <w:rPr>
                <w:rFonts w:ascii="宋体" w:hAnsi="宋体"/>
                <w:b/>
                <w:bCs/>
                <w:color w:val="000000"/>
                <w:sz w:val="18"/>
                <w:szCs w:val="18"/>
              </w:rPr>
            </w:pPr>
            <w:r>
              <w:rPr>
                <w:rFonts w:hint="eastAsia" w:ascii="宋体" w:hAnsi="宋体"/>
                <w:bCs/>
                <w:color w:val="000000"/>
                <w:sz w:val="18"/>
                <w:szCs w:val="18"/>
              </w:rPr>
              <w:t>★直流系统监控：可以通过数字监控模块上传信息，监控信息内容包括：直流开关状态及电流等；电池组的环境温度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tcPr>
          <w:p>
            <w:pPr>
              <w:rPr>
                <w:rFonts w:ascii="宋体" w:hAnsi="宋体"/>
                <w:b/>
                <w:bCs/>
                <w:color w:val="000000"/>
                <w:sz w:val="18"/>
                <w:szCs w:val="18"/>
              </w:rPr>
            </w:pPr>
          </w:p>
        </w:tc>
        <w:tc>
          <w:tcPr>
            <w:tcW w:w="992" w:type="dxa"/>
            <w:vMerge w:val="restart"/>
            <w:vAlign w:val="center"/>
          </w:tcPr>
          <w:p>
            <w:pPr>
              <w:ind w:right="210"/>
              <w:rPr>
                <w:rFonts w:ascii="宋体" w:hAnsi="宋体"/>
                <w:bCs/>
                <w:color w:val="000000"/>
                <w:sz w:val="18"/>
                <w:szCs w:val="18"/>
              </w:rPr>
            </w:pPr>
            <w:r>
              <w:rPr>
                <w:rFonts w:ascii="宋体" w:hAnsi="宋体"/>
                <w:bCs/>
                <w:color w:val="000000"/>
                <w:sz w:val="18"/>
                <w:szCs w:val="18"/>
              </w:rPr>
              <w:t>UPS</w:t>
            </w:r>
            <w:r>
              <w:rPr>
                <w:rFonts w:hint="eastAsia" w:ascii="宋体" w:hAnsi="宋体"/>
                <w:bCs/>
                <w:color w:val="000000"/>
                <w:sz w:val="18"/>
                <w:szCs w:val="18"/>
              </w:rPr>
              <w:t>系统监控（包括一套完整的控制与监视系统）</w:t>
            </w:r>
          </w:p>
        </w:tc>
        <w:tc>
          <w:tcPr>
            <w:tcW w:w="7088" w:type="dxa"/>
          </w:tcPr>
          <w:p>
            <w:pPr>
              <w:rPr>
                <w:rFonts w:ascii="宋体" w:hAnsi="宋体"/>
                <w:bCs/>
                <w:color w:val="000000"/>
                <w:sz w:val="18"/>
                <w:szCs w:val="18"/>
              </w:rPr>
            </w:pPr>
            <w:r>
              <w:rPr>
                <w:rFonts w:hint="eastAsia" w:ascii="宋体" w:hAnsi="宋体"/>
                <w:bCs/>
                <w:color w:val="000000"/>
                <w:sz w:val="18"/>
                <w:szCs w:val="18"/>
              </w:rPr>
              <w:t>★控制系统：</w:t>
            </w:r>
            <w:r>
              <w:rPr>
                <w:rFonts w:ascii="宋体" w:hAnsi="宋体"/>
                <w:bCs/>
                <w:color w:val="000000"/>
                <w:sz w:val="18"/>
                <w:szCs w:val="18"/>
              </w:rPr>
              <w:t>UPS供电系统</w:t>
            </w:r>
            <w:r>
              <w:rPr>
                <w:rFonts w:hint="eastAsia" w:ascii="宋体" w:hAnsi="宋体"/>
                <w:bCs/>
                <w:color w:val="000000"/>
                <w:sz w:val="18"/>
                <w:szCs w:val="18"/>
              </w:rPr>
              <w:t>的控制采用集中控制模式，系统采用先进的工业</w:t>
            </w:r>
            <w:r>
              <w:rPr>
                <w:rFonts w:ascii="宋体" w:hAnsi="宋体"/>
                <w:bCs/>
                <w:color w:val="000000"/>
                <w:sz w:val="18"/>
                <w:szCs w:val="18"/>
              </w:rPr>
              <w:t>CAN BUS</w:t>
            </w:r>
            <w:r>
              <w:rPr>
                <w:rFonts w:hint="eastAsia" w:ascii="宋体" w:hAnsi="宋体"/>
                <w:bCs/>
                <w:color w:val="000000"/>
                <w:sz w:val="18"/>
                <w:szCs w:val="18"/>
              </w:rPr>
              <w:t>总线控制结构，由两块冗余的、可热插拔的控制模块来完成对系统的集中控制管理。两块控制模块无主从之分（不得采用任何形式的主从并机控制模式以及多级分散式控制技术），一个控制模块故障不会影响到系统的正常工作，形成</w:t>
            </w:r>
            <w:r>
              <w:rPr>
                <w:rFonts w:ascii="宋体" w:hAnsi="宋体"/>
                <w:bCs/>
                <w:color w:val="000000"/>
                <w:sz w:val="18"/>
                <w:szCs w:val="18"/>
              </w:rPr>
              <w:t>1+1</w:t>
            </w:r>
            <w:r>
              <w:rPr>
                <w:rFonts w:hint="eastAsia" w:ascii="宋体" w:hAnsi="宋体"/>
                <w:bCs/>
                <w:color w:val="000000"/>
                <w:sz w:val="18"/>
                <w:szCs w:val="18"/>
              </w:rPr>
              <w:t>冗余控制；且在拔出任一个控制模块维护时不减少UPS的额定输出功率；在投标文件中必须提供控制模块图片展示相关部件并提供控制系统拓扑图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tcPr>
          <w:p>
            <w:pPr>
              <w:rPr>
                <w:rFonts w:ascii="宋体" w:hAnsi="宋体"/>
                <w:b/>
                <w:bCs/>
                <w:color w:val="000000"/>
                <w:sz w:val="18"/>
                <w:szCs w:val="18"/>
              </w:rPr>
            </w:pPr>
          </w:p>
        </w:tc>
        <w:tc>
          <w:tcPr>
            <w:tcW w:w="992" w:type="dxa"/>
            <w:vMerge w:val="continue"/>
          </w:tcPr>
          <w:p>
            <w:pPr>
              <w:rPr>
                <w:rFonts w:ascii="宋体" w:hAnsi="宋体"/>
                <w:b/>
                <w:bCs/>
                <w:color w:val="000000"/>
                <w:sz w:val="18"/>
                <w:szCs w:val="18"/>
              </w:rPr>
            </w:pPr>
          </w:p>
        </w:tc>
        <w:tc>
          <w:tcPr>
            <w:tcW w:w="7088" w:type="dxa"/>
          </w:tcPr>
          <w:p>
            <w:pPr>
              <w:rPr>
                <w:rFonts w:ascii="宋体" w:hAnsi="宋体"/>
                <w:bCs/>
                <w:color w:val="000000"/>
                <w:sz w:val="18"/>
                <w:szCs w:val="18"/>
              </w:rPr>
            </w:pPr>
            <w:r>
              <w:rPr>
                <w:rFonts w:hint="eastAsia" w:ascii="宋体" w:hAnsi="宋体"/>
                <w:bCs/>
                <w:color w:val="000000"/>
                <w:sz w:val="18"/>
                <w:szCs w:val="18"/>
              </w:rPr>
              <w:t>★系统监视：</w:t>
            </w:r>
          </w:p>
          <w:p>
            <w:pPr>
              <w:ind w:right="211"/>
              <w:rPr>
                <w:rFonts w:ascii="宋体" w:hAnsi="宋体"/>
                <w:bCs/>
                <w:color w:val="000000"/>
                <w:sz w:val="18"/>
                <w:szCs w:val="18"/>
              </w:rPr>
            </w:pPr>
            <w:r>
              <w:rPr>
                <w:rFonts w:ascii="宋体" w:hAnsi="宋体"/>
                <w:bCs/>
                <w:color w:val="000000"/>
                <w:sz w:val="18"/>
                <w:szCs w:val="18"/>
              </w:rPr>
              <w:t xml:space="preserve">1. </w:t>
            </w:r>
            <w:r>
              <w:rPr>
                <w:rFonts w:hint="eastAsia" w:ascii="宋体" w:hAnsi="宋体"/>
                <w:bCs/>
                <w:color w:val="000000"/>
                <w:sz w:val="18"/>
                <w:szCs w:val="18"/>
              </w:rPr>
              <w:t>系统应提供至少10英寸彩色触摸显示屏，显示以下信息：</w:t>
            </w:r>
          </w:p>
          <w:p>
            <w:pPr>
              <w:ind w:right="211"/>
              <w:rPr>
                <w:rFonts w:ascii="宋体" w:hAnsi="宋体"/>
                <w:bCs/>
                <w:color w:val="000000"/>
                <w:sz w:val="18"/>
                <w:szCs w:val="18"/>
              </w:rPr>
            </w:pPr>
            <w:r>
              <w:rPr>
                <w:rFonts w:hint="eastAsia" w:ascii="宋体" w:hAnsi="宋体"/>
                <w:bCs/>
                <w:color w:val="000000"/>
                <w:sz w:val="18"/>
                <w:szCs w:val="18"/>
              </w:rPr>
              <w:t>能显示输入/输出交流电多种参数，例如电压、电流、功率（有功/无功）、功率因数等；能够以图形化的界面显示整个供电路径/工作模式/输入/输出/旁路开关状态。支持对输出支路开关的管理：包括显示电流，电压，开关状态等参数。</w:t>
            </w:r>
          </w:p>
          <w:p>
            <w:pPr>
              <w:ind w:right="211"/>
              <w:rPr>
                <w:rFonts w:ascii="宋体" w:hAnsi="宋体"/>
                <w:bCs/>
                <w:color w:val="000000"/>
                <w:sz w:val="18"/>
                <w:szCs w:val="18"/>
              </w:rPr>
            </w:pPr>
            <w:r>
              <w:rPr>
                <w:rFonts w:ascii="宋体" w:hAnsi="宋体"/>
                <w:bCs/>
                <w:color w:val="000000"/>
                <w:sz w:val="18"/>
                <w:szCs w:val="18"/>
              </w:rPr>
              <w:t>2.</w:t>
            </w:r>
            <w:r>
              <w:rPr>
                <w:rFonts w:hint="eastAsia" w:ascii="宋体" w:hAnsi="宋体"/>
                <w:bCs/>
                <w:color w:val="000000"/>
                <w:sz w:val="18"/>
                <w:szCs w:val="18"/>
              </w:rPr>
              <w:t xml:space="preserve"> 系统监控信息接口：提供SNMP</w:t>
            </w:r>
            <w:r>
              <w:rPr>
                <w:rFonts w:ascii="宋体" w:hAnsi="宋体"/>
                <w:bCs/>
                <w:color w:val="000000"/>
                <w:sz w:val="18"/>
                <w:szCs w:val="18"/>
              </w:rPr>
              <w:t>/RJ45</w:t>
            </w:r>
            <w:r>
              <w:rPr>
                <w:rFonts w:hint="eastAsia" w:ascii="宋体" w:hAnsi="宋体"/>
                <w:bCs/>
                <w:color w:val="000000"/>
                <w:sz w:val="18"/>
                <w:szCs w:val="18"/>
              </w:rPr>
              <w:t>及BMS</w:t>
            </w:r>
            <w:r>
              <w:rPr>
                <w:rFonts w:ascii="宋体" w:hAnsi="宋体"/>
                <w:bCs/>
                <w:color w:val="000000"/>
                <w:sz w:val="18"/>
                <w:szCs w:val="18"/>
              </w:rPr>
              <w:t>/RJ485</w:t>
            </w:r>
            <w:r>
              <w:rPr>
                <w:rFonts w:hint="eastAsia" w:ascii="宋体" w:hAnsi="宋体"/>
                <w:bCs/>
                <w:color w:val="000000"/>
                <w:sz w:val="18"/>
                <w:szCs w:val="18"/>
              </w:rPr>
              <w:t>接口，以便将系统信息上传。</w:t>
            </w:r>
          </w:p>
        </w:tc>
      </w:tr>
    </w:tbl>
    <w:p>
      <w:pPr>
        <w:spacing w:before="156" w:beforeLines="50"/>
        <w:rPr>
          <w:rFonts w:ascii="宋体" w:hAnsi="宋体"/>
          <w:szCs w:val="21"/>
          <w:u w:val="single"/>
        </w:rPr>
      </w:pPr>
    </w:p>
    <w:p>
      <w:pPr>
        <w:spacing w:before="156" w:beforeLines="50"/>
        <w:rPr>
          <w:rFonts w:ascii="宋体" w:hAnsi="宋体"/>
          <w:b/>
          <w:sz w:val="24"/>
        </w:rPr>
      </w:pPr>
      <w:r>
        <w:rPr>
          <w:rFonts w:hint="eastAsia" w:ascii="宋体" w:hAnsi="宋体"/>
          <w:b/>
          <w:sz w:val="24"/>
        </w:rPr>
        <w:t>二、主要技术规格要求</w:t>
      </w:r>
    </w:p>
    <w:p>
      <w:pPr>
        <w:spacing w:before="156" w:beforeLines="50"/>
        <w:rPr>
          <w:rFonts w:ascii="宋体" w:hAnsi="宋体"/>
          <w:sz w:val="24"/>
        </w:rPr>
      </w:pPr>
      <w:r>
        <w:rPr>
          <w:rFonts w:hint="eastAsia" w:ascii="宋体" w:hAnsi="宋体"/>
          <w:sz w:val="24"/>
        </w:rPr>
        <w:t>注：带“★”号的为关键技术指标，不允许负偏离，投标方应完整列出所投产品的技术参数及性能指标。不带“★”号的不是否决投标项</w:t>
      </w:r>
    </w:p>
    <w:p>
      <w:pPr>
        <w:spacing w:before="156" w:beforeLines="50"/>
        <w:rPr>
          <w:rFonts w:ascii="宋体" w:hAnsi="宋体"/>
          <w:sz w:val="24"/>
        </w:rPr>
      </w:pPr>
    </w:p>
    <w:tbl>
      <w:tblPr>
        <w:tblStyle w:val="12"/>
        <w:tblW w:w="9498"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1418"/>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418" w:type="dxa"/>
            <w:vAlign w:val="center"/>
          </w:tcPr>
          <w:p>
            <w:pPr>
              <w:spacing w:before="156" w:beforeLines="50"/>
              <w:ind w:firstLine="540" w:firstLineChars="300"/>
              <w:rPr>
                <w:rFonts w:ascii="宋体" w:hAnsi="宋体"/>
                <w:b/>
                <w:sz w:val="24"/>
              </w:rPr>
            </w:pPr>
            <w:r>
              <w:rPr>
                <w:rFonts w:ascii="宋体" w:hAnsi="宋体"/>
                <w:sz w:val="18"/>
                <w:szCs w:val="18"/>
              </w:rPr>
              <w:t>项目</w:t>
            </w:r>
          </w:p>
        </w:tc>
        <w:tc>
          <w:tcPr>
            <w:tcW w:w="8080" w:type="dxa"/>
            <w:gridSpan w:val="2"/>
            <w:vAlign w:val="center"/>
          </w:tcPr>
          <w:p>
            <w:pPr>
              <w:spacing w:before="156" w:beforeLines="50"/>
              <w:ind w:firstLine="2250" w:firstLineChars="1250"/>
              <w:rPr>
                <w:rFonts w:ascii="宋体" w:hAnsi="宋体"/>
                <w:b/>
                <w:sz w:val="24"/>
              </w:rPr>
            </w:pPr>
            <w:r>
              <w:rPr>
                <w:rFonts w:hint="eastAsia" w:ascii="宋体" w:hAnsi="宋体"/>
                <w:sz w:val="18"/>
                <w:szCs w:val="18"/>
              </w:rPr>
              <w:t>技术要求（投标产品）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restart"/>
            <w:vAlign w:val="center"/>
          </w:tcPr>
          <w:p>
            <w:pPr>
              <w:spacing w:before="156" w:beforeLines="50"/>
              <w:rPr>
                <w:rFonts w:ascii="宋体" w:hAnsi="宋体"/>
                <w:sz w:val="18"/>
                <w:szCs w:val="18"/>
              </w:rPr>
            </w:pPr>
            <w:r>
              <w:rPr>
                <w:rFonts w:hint="eastAsia" w:ascii="宋体" w:hAnsi="宋体"/>
                <w:sz w:val="18"/>
                <w:szCs w:val="18"/>
              </w:rPr>
              <w:t>UPS基本要求</w:t>
            </w:r>
          </w:p>
        </w:tc>
        <w:tc>
          <w:tcPr>
            <w:tcW w:w="8080" w:type="dxa"/>
            <w:gridSpan w:val="2"/>
            <w:vAlign w:val="center"/>
          </w:tcPr>
          <w:p>
            <w:pPr>
              <w:ind w:right="211"/>
              <w:rPr>
                <w:rFonts w:ascii="宋体" w:hAnsi="宋体"/>
                <w:bCs/>
                <w:color w:val="000000"/>
                <w:sz w:val="18"/>
                <w:szCs w:val="18"/>
              </w:rPr>
            </w:pPr>
            <w:r>
              <w:rPr>
                <w:rFonts w:hint="eastAsia" w:ascii="宋体" w:hAnsi="宋体"/>
                <w:bCs/>
                <w:color w:val="000000"/>
                <w:sz w:val="18"/>
                <w:szCs w:val="18"/>
              </w:rPr>
              <w:t>★原有UPS型号Symmetra PX500（</w:t>
            </w:r>
            <w:r>
              <w:rPr>
                <w:rFonts w:ascii="宋体" w:hAnsi="宋体"/>
                <w:bCs/>
                <w:color w:val="000000"/>
                <w:sz w:val="18"/>
                <w:szCs w:val="18"/>
              </w:rPr>
              <w:t>SY</w:t>
            </w:r>
            <w:r>
              <w:rPr>
                <w:rFonts w:hint="eastAsia" w:ascii="宋体" w:hAnsi="宋体"/>
                <w:bCs/>
                <w:color w:val="000000"/>
                <w:sz w:val="18"/>
                <w:szCs w:val="18"/>
              </w:rPr>
              <w:t>300</w:t>
            </w:r>
            <w:r>
              <w:rPr>
                <w:rFonts w:ascii="宋体" w:hAnsi="宋体"/>
                <w:bCs/>
                <w:color w:val="000000"/>
                <w:sz w:val="18"/>
                <w:szCs w:val="18"/>
              </w:rPr>
              <w:t>K500DL/DR-PDNB</w:t>
            </w:r>
            <w:r>
              <w:rPr>
                <w:rFonts w:hint="eastAsia" w:ascii="宋体" w:hAnsi="宋体"/>
                <w:bCs/>
                <w:color w:val="000000"/>
                <w:sz w:val="18"/>
                <w:szCs w:val="18"/>
              </w:rPr>
              <w:t>)，原U</w:t>
            </w:r>
            <w:r>
              <w:rPr>
                <w:rFonts w:ascii="宋体" w:hAnsi="宋体"/>
                <w:bCs/>
                <w:color w:val="000000"/>
                <w:sz w:val="18"/>
                <w:szCs w:val="18"/>
              </w:rPr>
              <w:t>PS</w:t>
            </w:r>
            <w:r>
              <w:rPr>
                <w:rFonts w:hint="eastAsia" w:ascii="宋体" w:hAnsi="宋体"/>
                <w:bCs/>
                <w:color w:val="000000"/>
                <w:sz w:val="18"/>
                <w:szCs w:val="18"/>
              </w:rPr>
              <w:t>与此次投标U</w:t>
            </w:r>
            <w:r>
              <w:rPr>
                <w:rFonts w:ascii="宋体" w:hAnsi="宋体"/>
                <w:bCs/>
                <w:color w:val="000000"/>
                <w:sz w:val="18"/>
                <w:szCs w:val="18"/>
              </w:rPr>
              <w:t>PS</w:t>
            </w:r>
            <w:r>
              <w:rPr>
                <w:rFonts w:hint="eastAsia" w:ascii="宋体" w:hAnsi="宋体"/>
                <w:bCs/>
                <w:color w:val="000000"/>
                <w:sz w:val="18"/>
                <w:szCs w:val="18"/>
              </w:rPr>
              <w:t>并机使用，投标UPS系统采用模块化N+1方式，300KVA/300KW与原UPS系统冗余使用要求一致，UPS设备安装基座尺寸与原有UPS底座尺寸一致</w:t>
            </w:r>
            <w:r>
              <w:rPr>
                <w:rFonts w:ascii="宋体" w:hAnsi="宋体"/>
                <w:bCs/>
                <w:color w:val="000000"/>
                <w:sz w:val="18"/>
                <w:szCs w:val="18"/>
              </w:rPr>
              <w:t>（</w:t>
            </w:r>
            <w:r>
              <w:rPr>
                <w:rFonts w:hint="eastAsia" w:ascii="宋体" w:hAnsi="宋体"/>
                <w:bCs/>
                <w:color w:val="000000"/>
                <w:sz w:val="18"/>
                <w:szCs w:val="18"/>
              </w:rPr>
              <w:t>原基座尺寸长2</w:t>
            </w:r>
            <w:r>
              <w:rPr>
                <w:rFonts w:ascii="宋体" w:hAnsi="宋体"/>
                <w:bCs/>
                <w:color w:val="000000"/>
                <w:sz w:val="18"/>
                <w:szCs w:val="18"/>
              </w:rPr>
              <w:t>.8米</w:t>
            </w:r>
            <w:r>
              <w:rPr>
                <w:rFonts w:hint="eastAsia" w:ascii="宋体" w:hAnsi="宋体"/>
                <w:bCs/>
                <w:color w:val="000000"/>
                <w:sz w:val="18"/>
                <w:szCs w:val="18"/>
              </w:rPr>
              <w:t>*</w:t>
            </w:r>
            <w:r>
              <w:rPr>
                <w:rFonts w:ascii="宋体" w:hAnsi="宋体"/>
                <w:bCs/>
                <w:color w:val="000000"/>
                <w:sz w:val="18"/>
                <w:szCs w:val="18"/>
              </w:rPr>
              <w:t>宽</w:t>
            </w:r>
            <w:r>
              <w:rPr>
                <w:rFonts w:hint="eastAsia" w:ascii="宋体" w:hAnsi="宋体"/>
                <w:bCs/>
                <w:color w:val="000000"/>
                <w:sz w:val="18"/>
                <w:szCs w:val="18"/>
              </w:rPr>
              <w:t>1.</w:t>
            </w:r>
            <w:r>
              <w:rPr>
                <w:rFonts w:ascii="宋体" w:hAnsi="宋体"/>
                <w:bCs/>
                <w:color w:val="000000"/>
                <w:sz w:val="18"/>
                <w:szCs w:val="18"/>
              </w:rPr>
              <w:t>07米）</w:t>
            </w:r>
            <w:r>
              <w:rPr>
                <w:rFonts w:hint="eastAsia" w:ascii="宋体" w:hAnsi="宋体"/>
                <w:bCs/>
                <w:color w:val="000000"/>
                <w:sz w:val="18"/>
                <w:szCs w:val="18"/>
              </w:rPr>
              <w:t>，UPS品牌型号一致</w:t>
            </w:r>
            <w:r>
              <w:rPr>
                <w:rFonts w:ascii="宋体" w:hAnsi="宋体"/>
                <w:bCs/>
                <w:color w:val="000000"/>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vAlign w:val="center"/>
          </w:tcPr>
          <w:p>
            <w:pPr>
              <w:spacing w:before="156" w:beforeLines="50"/>
              <w:rPr>
                <w:rFonts w:ascii="宋体" w:hAnsi="宋体"/>
                <w:b/>
                <w:sz w:val="24"/>
              </w:rPr>
            </w:pPr>
          </w:p>
        </w:tc>
        <w:tc>
          <w:tcPr>
            <w:tcW w:w="8080" w:type="dxa"/>
            <w:gridSpan w:val="2"/>
            <w:vAlign w:val="center"/>
          </w:tcPr>
          <w:p>
            <w:pPr>
              <w:rPr>
                <w:rFonts w:ascii="宋体" w:hAnsi="宋体"/>
                <w:b/>
                <w:sz w:val="24"/>
              </w:rPr>
            </w:pPr>
            <w:r>
              <w:rPr>
                <w:rFonts w:hint="eastAsia" w:ascii="宋体" w:hAnsi="宋体"/>
                <w:bCs/>
                <w:color w:val="000000"/>
                <w:sz w:val="18"/>
                <w:szCs w:val="18"/>
              </w:rPr>
              <w:t>★</w:t>
            </w:r>
            <w:r>
              <w:rPr>
                <w:rFonts w:ascii="宋体" w:hAnsi="宋体"/>
                <w:bCs/>
                <w:color w:val="000000"/>
                <w:sz w:val="18"/>
                <w:szCs w:val="18"/>
              </w:rPr>
              <w:t>UPS系统采用模块化N+1 UPS系统, 满足30</w:t>
            </w:r>
            <w:r>
              <w:rPr>
                <w:rFonts w:hint="eastAsia" w:ascii="宋体" w:hAnsi="宋体"/>
                <w:bCs/>
                <w:color w:val="000000"/>
                <w:sz w:val="18"/>
                <w:szCs w:val="18"/>
              </w:rPr>
              <w:t>0</w:t>
            </w:r>
            <w:r>
              <w:rPr>
                <w:rFonts w:ascii="宋体" w:hAnsi="宋体"/>
                <w:bCs/>
                <w:color w:val="000000"/>
                <w:sz w:val="18"/>
                <w:szCs w:val="18"/>
              </w:rPr>
              <w:t>KVA/30</w:t>
            </w:r>
            <w:r>
              <w:rPr>
                <w:rFonts w:hint="eastAsia" w:ascii="宋体" w:hAnsi="宋体"/>
                <w:bCs/>
                <w:color w:val="000000"/>
                <w:sz w:val="18"/>
                <w:szCs w:val="18"/>
              </w:rPr>
              <w:t>0</w:t>
            </w:r>
            <w:r>
              <w:rPr>
                <w:rFonts w:ascii="宋体" w:hAnsi="宋体"/>
                <w:bCs/>
                <w:color w:val="000000"/>
                <w:sz w:val="18"/>
                <w:szCs w:val="18"/>
              </w:rPr>
              <w:t xml:space="preserve">KW </w:t>
            </w:r>
            <w:r>
              <w:rPr>
                <w:rFonts w:hint="eastAsia" w:ascii="宋体" w:hAnsi="宋体"/>
                <w:bCs/>
                <w:color w:val="000000"/>
                <w:sz w:val="18"/>
                <w:szCs w:val="18"/>
              </w:rPr>
              <w:t>，</w:t>
            </w:r>
            <w:r>
              <w:rPr>
                <w:rFonts w:ascii="宋体" w:hAnsi="宋体"/>
                <w:bCs/>
                <w:color w:val="000000"/>
                <w:sz w:val="18"/>
                <w:szCs w:val="18"/>
              </w:rPr>
              <w:t>满足30</w:t>
            </w:r>
            <w:r>
              <w:rPr>
                <w:rFonts w:hint="eastAsia" w:ascii="宋体" w:hAnsi="宋体"/>
                <w:bCs/>
                <w:color w:val="000000"/>
                <w:sz w:val="18"/>
                <w:szCs w:val="18"/>
              </w:rPr>
              <w:t>0KVA/</w:t>
            </w:r>
            <w:r>
              <w:rPr>
                <w:rFonts w:ascii="宋体" w:hAnsi="宋体"/>
                <w:bCs/>
                <w:color w:val="000000"/>
                <w:sz w:val="18"/>
                <w:szCs w:val="18"/>
              </w:rPr>
              <w:t>30</w:t>
            </w:r>
            <w:r>
              <w:rPr>
                <w:rFonts w:hint="eastAsia" w:ascii="宋体" w:hAnsi="宋体"/>
                <w:bCs/>
                <w:color w:val="000000"/>
                <w:sz w:val="18"/>
                <w:szCs w:val="18"/>
              </w:rPr>
              <w:t>0KW冗余</w:t>
            </w:r>
            <w:r>
              <w:rPr>
                <w:rFonts w:ascii="宋体" w:hAnsi="宋体"/>
                <w:bCs/>
                <w:color w:val="000000"/>
                <w:sz w:val="18"/>
                <w:szCs w:val="18"/>
              </w:rPr>
              <w:t>使用要求。</w:t>
            </w:r>
            <w:r>
              <w:rPr>
                <w:rFonts w:hint="eastAsia" w:ascii="宋体" w:hAnsi="宋体"/>
                <w:bCs/>
                <w:color w:val="000000"/>
                <w:sz w:val="18"/>
                <w:szCs w:val="18"/>
              </w:rPr>
              <w:t>本期配置</w:t>
            </w:r>
            <w:r>
              <w:rPr>
                <w:rFonts w:ascii="宋体" w:hAnsi="宋体"/>
                <w:bCs/>
                <w:color w:val="000000"/>
                <w:sz w:val="18"/>
                <w:szCs w:val="18"/>
              </w:rPr>
              <w:t>3</w:t>
            </w:r>
            <w:r>
              <w:rPr>
                <w:rFonts w:hint="eastAsia" w:ascii="宋体" w:hAnsi="宋体"/>
                <w:bCs/>
                <w:color w:val="000000"/>
                <w:sz w:val="18"/>
                <w:szCs w:val="18"/>
              </w:rPr>
              <w:t>00KVA/</w:t>
            </w:r>
            <w:r>
              <w:rPr>
                <w:rFonts w:ascii="宋体" w:hAnsi="宋体"/>
                <w:bCs/>
                <w:color w:val="000000"/>
                <w:sz w:val="18"/>
                <w:szCs w:val="18"/>
              </w:rPr>
              <w:t>3</w:t>
            </w:r>
            <w:r>
              <w:rPr>
                <w:rFonts w:hint="eastAsia" w:ascii="宋体" w:hAnsi="宋体"/>
                <w:bCs/>
                <w:color w:val="000000"/>
                <w:sz w:val="18"/>
                <w:szCs w:val="18"/>
              </w:rPr>
              <w:t>00KW  1套，后期可扩容到5</w:t>
            </w:r>
            <w:r>
              <w:rPr>
                <w:rFonts w:ascii="宋体" w:hAnsi="宋体"/>
                <w:bCs/>
                <w:color w:val="000000"/>
                <w:sz w:val="18"/>
                <w:szCs w:val="18"/>
              </w:rPr>
              <w:t>00KVA</w:t>
            </w:r>
            <w:r>
              <w:rPr>
                <w:rFonts w:hint="eastAsia" w:ascii="宋体" w:hAnsi="宋体"/>
                <w:bCs/>
                <w:color w:val="000000"/>
                <w:sz w:val="18"/>
                <w:szCs w:val="18"/>
              </w:rPr>
              <w:t>。且和原有U</w:t>
            </w:r>
            <w:r>
              <w:rPr>
                <w:rFonts w:ascii="宋体" w:hAnsi="宋体"/>
                <w:bCs/>
                <w:color w:val="000000"/>
                <w:sz w:val="18"/>
                <w:szCs w:val="18"/>
              </w:rPr>
              <w:t>PS</w:t>
            </w:r>
            <w:r>
              <w:rPr>
                <w:rFonts w:hint="eastAsia" w:ascii="宋体" w:hAnsi="宋体"/>
                <w:bCs/>
                <w:color w:val="000000"/>
                <w:sz w:val="18"/>
                <w:szCs w:val="18"/>
              </w:rPr>
              <w:t>配置型号完全一致，原有</w:t>
            </w:r>
            <w:r>
              <w:rPr>
                <w:rFonts w:ascii="宋体" w:hAnsi="宋体"/>
                <w:bCs/>
                <w:color w:val="000000"/>
                <w:sz w:val="18"/>
                <w:szCs w:val="18"/>
              </w:rPr>
              <w:t>UPS</w:t>
            </w:r>
            <w:r>
              <w:rPr>
                <w:rFonts w:hint="eastAsia" w:ascii="宋体" w:hAnsi="宋体"/>
                <w:bCs/>
                <w:color w:val="000000"/>
                <w:sz w:val="18"/>
                <w:szCs w:val="18"/>
              </w:rPr>
              <w:t>型号：</w:t>
            </w:r>
            <w:r>
              <w:rPr>
                <w:rFonts w:ascii="宋体" w:hAnsi="宋体"/>
                <w:bCs/>
                <w:color w:val="000000"/>
                <w:sz w:val="18"/>
                <w:szCs w:val="18"/>
              </w:rPr>
              <w:t>SY</w:t>
            </w:r>
            <w:r>
              <w:rPr>
                <w:rFonts w:hint="eastAsia" w:ascii="宋体" w:hAnsi="宋体"/>
                <w:bCs/>
                <w:color w:val="000000"/>
                <w:sz w:val="18"/>
                <w:szCs w:val="18"/>
              </w:rPr>
              <w:t>300</w:t>
            </w:r>
            <w:r>
              <w:rPr>
                <w:rFonts w:ascii="宋体" w:hAnsi="宋体"/>
                <w:bCs/>
                <w:color w:val="000000"/>
                <w:sz w:val="18"/>
                <w:szCs w:val="18"/>
              </w:rPr>
              <w:t>K500DL/DR-PDNB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418" w:type="dxa"/>
            <w:vMerge w:val="continue"/>
            <w:vAlign w:val="center"/>
          </w:tcPr>
          <w:p>
            <w:pPr>
              <w:spacing w:before="156" w:beforeLines="50"/>
              <w:rPr>
                <w:rFonts w:ascii="宋体" w:hAnsi="宋体"/>
                <w:b/>
                <w:sz w:val="24"/>
              </w:rPr>
            </w:pPr>
          </w:p>
        </w:tc>
        <w:tc>
          <w:tcPr>
            <w:tcW w:w="8080" w:type="dxa"/>
            <w:gridSpan w:val="2"/>
            <w:vAlign w:val="center"/>
          </w:tcPr>
          <w:p>
            <w:pPr>
              <w:spacing w:line="360" w:lineRule="auto"/>
              <w:rPr>
                <w:rFonts w:ascii="宋体" w:hAnsi="宋体"/>
                <w:bCs/>
                <w:color w:val="000000"/>
                <w:sz w:val="18"/>
                <w:szCs w:val="18"/>
              </w:rPr>
            </w:pPr>
            <w:r>
              <w:rPr>
                <w:rFonts w:hint="eastAsia" w:ascii="宋体" w:hAnsi="宋体"/>
                <w:bCs/>
                <w:color w:val="000000"/>
                <w:sz w:val="18"/>
                <w:szCs w:val="18"/>
              </w:rPr>
              <w:t>★每个功率模块容量25KVA/25KW。此次U</w:t>
            </w:r>
            <w:r>
              <w:rPr>
                <w:rFonts w:ascii="宋体" w:hAnsi="宋体"/>
                <w:bCs/>
                <w:color w:val="000000"/>
                <w:sz w:val="18"/>
                <w:szCs w:val="18"/>
              </w:rPr>
              <w:t>PS</w:t>
            </w:r>
            <w:r>
              <w:rPr>
                <w:rFonts w:hint="eastAsia" w:ascii="宋体" w:hAnsi="宋体"/>
                <w:bCs/>
                <w:color w:val="000000"/>
                <w:sz w:val="18"/>
                <w:szCs w:val="18"/>
              </w:rPr>
              <w:t>配置12个25KVA/25KW功率模块，共计300</w:t>
            </w:r>
            <w:r>
              <w:rPr>
                <w:rFonts w:ascii="宋体" w:hAnsi="宋体"/>
                <w:bCs/>
                <w:color w:val="000000"/>
                <w:sz w:val="18"/>
                <w:szCs w:val="18"/>
              </w:rPr>
              <w:t>KVA/300KW</w:t>
            </w:r>
          </w:p>
        </w:tc>
      </w:tr>
      <w:tr>
        <w:tblPrEx>
          <w:tblCellMar>
            <w:top w:w="0" w:type="dxa"/>
            <w:left w:w="108" w:type="dxa"/>
            <w:bottom w:w="0" w:type="dxa"/>
            <w:right w:w="108" w:type="dxa"/>
          </w:tblCellMar>
        </w:tblPrEx>
        <w:tc>
          <w:tcPr>
            <w:tcW w:w="1418" w:type="dxa"/>
            <w:vMerge w:val="continue"/>
            <w:vAlign w:val="center"/>
          </w:tcPr>
          <w:p>
            <w:pPr>
              <w:spacing w:before="156" w:beforeLines="50"/>
              <w:rPr>
                <w:rFonts w:ascii="宋体" w:hAnsi="宋体"/>
                <w:b/>
                <w:sz w:val="24"/>
              </w:rPr>
            </w:pPr>
          </w:p>
        </w:tc>
        <w:tc>
          <w:tcPr>
            <w:tcW w:w="8080" w:type="dxa"/>
            <w:gridSpan w:val="2"/>
            <w:vAlign w:val="center"/>
          </w:tcPr>
          <w:p>
            <w:pPr>
              <w:rPr>
                <w:rFonts w:ascii="宋体" w:hAnsi="宋体"/>
                <w:bCs/>
                <w:color w:val="000000"/>
                <w:sz w:val="18"/>
                <w:szCs w:val="18"/>
              </w:rPr>
            </w:pPr>
            <w:r>
              <w:rPr>
                <w:rFonts w:hint="eastAsia" w:ascii="宋体" w:hAnsi="宋体"/>
                <w:bCs/>
                <w:color w:val="000000"/>
                <w:sz w:val="18"/>
                <w:szCs w:val="18"/>
              </w:rPr>
              <w:t>★投标产品在市场上应是成熟可靠的产品；本次招标不接受最近五年的新试制或新改进产品，投标机型需在中国市场运行时间7年以上（投标时需提供首次泰尔产品检查报告）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8" w:type="dxa"/>
            <w:vMerge w:val="continue"/>
            <w:vAlign w:val="center"/>
          </w:tcPr>
          <w:p>
            <w:pPr>
              <w:spacing w:before="156" w:beforeLines="50"/>
              <w:rPr>
                <w:rFonts w:ascii="宋体" w:hAnsi="宋体"/>
                <w:b/>
                <w:sz w:val="24"/>
              </w:rPr>
            </w:pPr>
          </w:p>
        </w:tc>
        <w:tc>
          <w:tcPr>
            <w:tcW w:w="8080" w:type="dxa"/>
            <w:gridSpan w:val="2"/>
            <w:vAlign w:val="center"/>
          </w:tcPr>
          <w:p>
            <w:pPr>
              <w:rPr>
                <w:rFonts w:ascii="宋体" w:hAnsi="宋体"/>
                <w:b/>
                <w:sz w:val="24"/>
              </w:rPr>
            </w:pPr>
            <w:r>
              <w:rPr>
                <w:rFonts w:ascii="宋体" w:hAnsi="宋体"/>
                <w:bCs/>
                <w:color w:val="000000"/>
                <w:sz w:val="18"/>
                <w:szCs w:val="18"/>
              </w:rPr>
              <w:t>具有容量冗余和功率模块备份，保证系统的高可靠性并具有在线维修能力，减少系统的故障点，使系统的可用性大于99.999%。</w:t>
            </w:r>
            <w:r>
              <w:rPr>
                <w:rFonts w:hint="eastAsia" w:ascii="宋体" w:hAnsi="宋体"/>
                <w:bCs/>
                <w:color w:val="000000"/>
                <w:sz w:val="18"/>
                <w:szCs w:val="18"/>
              </w:rPr>
              <w:t>功率因数为1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vAlign w:val="center"/>
          </w:tcPr>
          <w:p>
            <w:pPr>
              <w:spacing w:before="156" w:beforeLines="50"/>
              <w:rPr>
                <w:rFonts w:ascii="宋体" w:hAnsi="宋体"/>
                <w:b/>
                <w:sz w:val="24"/>
              </w:rPr>
            </w:pPr>
          </w:p>
        </w:tc>
        <w:tc>
          <w:tcPr>
            <w:tcW w:w="8080" w:type="dxa"/>
            <w:gridSpan w:val="2"/>
            <w:vAlign w:val="center"/>
          </w:tcPr>
          <w:p>
            <w:pPr>
              <w:rPr>
                <w:rFonts w:ascii="宋体" w:hAnsi="宋体"/>
                <w:bCs/>
                <w:color w:val="000000"/>
                <w:sz w:val="18"/>
                <w:szCs w:val="18"/>
              </w:rPr>
            </w:pPr>
            <w:r>
              <w:rPr>
                <w:rFonts w:ascii="宋体" w:hAnsi="宋体"/>
                <w:bCs/>
                <w:color w:val="000000"/>
                <w:sz w:val="18"/>
                <w:szCs w:val="18"/>
              </w:rPr>
              <w:t>UPS系统的负荷主要包括: 服务器、</w:t>
            </w:r>
            <w:r>
              <w:rPr>
                <w:rFonts w:hint="eastAsia" w:ascii="宋体" w:hAnsi="宋体"/>
                <w:bCs/>
                <w:color w:val="000000"/>
                <w:sz w:val="18"/>
                <w:szCs w:val="18"/>
              </w:rPr>
              <w:t>小型机、刀片、网络设备</w:t>
            </w:r>
            <w:r>
              <w:rPr>
                <w:rFonts w:ascii="宋体" w:hAnsi="宋体"/>
                <w:bCs/>
                <w:color w:val="000000"/>
                <w:sz w:val="18"/>
                <w:szCs w:val="18"/>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418" w:type="dxa"/>
            <w:vMerge w:val="continue"/>
            <w:vAlign w:val="center"/>
          </w:tcPr>
          <w:p>
            <w:pPr>
              <w:spacing w:before="156" w:beforeLines="50"/>
              <w:rPr>
                <w:rFonts w:ascii="宋体" w:hAnsi="宋体"/>
                <w:b/>
                <w:sz w:val="24"/>
              </w:rPr>
            </w:pPr>
          </w:p>
        </w:tc>
        <w:tc>
          <w:tcPr>
            <w:tcW w:w="8080" w:type="dxa"/>
            <w:gridSpan w:val="2"/>
            <w:vAlign w:val="center"/>
          </w:tcPr>
          <w:p>
            <w:pPr>
              <w:spacing w:line="360" w:lineRule="auto"/>
              <w:rPr>
                <w:rFonts w:ascii="宋体" w:hAnsi="宋体"/>
                <w:bCs/>
                <w:color w:val="000000"/>
                <w:sz w:val="18"/>
                <w:szCs w:val="18"/>
              </w:rPr>
            </w:pPr>
            <w:r>
              <w:rPr>
                <w:rFonts w:ascii="宋体" w:hAnsi="宋体"/>
                <w:bCs/>
                <w:color w:val="000000"/>
                <w:sz w:val="18"/>
                <w:szCs w:val="18"/>
              </w:rPr>
              <w:t>UPS应采用双变换纯在线式技术，具有稳压、稳频等功能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vAlign w:val="center"/>
          </w:tcPr>
          <w:p>
            <w:pPr>
              <w:spacing w:before="156" w:beforeLines="50"/>
              <w:rPr>
                <w:rFonts w:ascii="宋体" w:hAnsi="宋体"/>
                <w:b/>
                <w:sz w:val="24"/>
              </w:rPr>
            </w:pPr>
          </w:p>
        </w:tc>
        <w:tc>
          <w:tcPr>
            <w:tcW w:w="8080" w:type="dxa"/>
            <w:gridSpan w:val="2"/>
            <w:vAlign w:val="center"/>
          </w:tcPr>
          <w:p>
            <w:pPr>
              <w:rPr>
                <w:rFonts w:ascii="宋体" w:hAnsi="宋体"/>
                <w:bCs/>
                <w:color w:val="000000"/>
                <w:sz w:val="18"/>
                <w:szCs w:val="18"/>
              </w:rPr>
            </w:pPr>
            <w:r>
              <w:rPr>
                <w:rFonts w:hint="eastAsia" w:ascii="宋体" w:hAnsi="宋体"/>
                <w:bCs/>
                <w:color w:val="000000"/>
                <w:sz w:val="18"/>
                <w:szCs w:val="18"/>
              </w:rPr>
              <w:t>★</w:t>
            </w:r>
            <w:r>
              <w:rPr>
                <w:rFonts w:ascii="宋体" w:hAnsi="宋体"/>
                <w:bCs/>
                <w:color w:val="000000"/>
                <w:sz w:val="18"/>
                <w:szCs w:val="18"/>
              </w:rPr>
              <w:t>UPS功率模块</w:t>
            </w:r>
            <w:r>
              <w:rPr>
                <w:rFonts w:hint="eastAsia" w:ascii="宋体" w:hAnsi="宋体"/>
                <w:bCs/>
                <w:color w:val="000000"/>
                <w:sz w:val="18"/>
                <w:szCs w:val="18"/>
              </w:rPr>
              <w:t>内</w:t>
            </w:r>
            <w:r>
              <w:rPr>
                <w:rFonts w:ascii="宋体" w:hAnsi="宋体"/>
                <w:bCs/>
                <w:color w:val="000000"/>
                <w:sz w:val="18"/>
                <w:szCs w:val="18"/>
              </w:rPr>
              <w:t>不含有内置静态旁路，整个系统</w:t>
            </w:r>
            <w:r>
              <w:rPr>
                <w:rFonts w:hint="eastAsia" w:ascii="宋体" w:hAnsi="宋体"/>
                <w:bCs/>
                <w:color w:val="000000"/>
                <w:sz w:val="18"/>
                <w:szCs w:val="18"/>
              </w:rPr>
              <w:t>共</w:t>
            </w:r>
            <w:r>
              <w:rPr>
                <w:rFonts w:ascii="宋体" w:hAnsi="宋体"/>
                <w:bCs/>
                <w:color w:val="000000"/>
                <w:sz w:val="18"/>
                <w:szCs w:val="18"/>
              </w:rPr>
              <w:t>用一套静态旁路，并在输出配电柜内</w:t>
            </w:r>
            <w:r>
              <w:rPr>
                <w:rFonts w:hint="eastAsia" w:ascii="宋体" w:hAnsi="宋体"/>
                <w:bCs/>
                <w:color w:val="000000"/>
                <w:sz w:val="18"/>
                <w:szCs w:val="18"/>
              </w:rPr>
              <w:t>标配</w:t>
            </w:r>
            <w:r>
              <w:rPr>
                <w:rFonts w:ascii="宋体" w:hAnsi="宋体"/>
                <w:bCs/>
                <w:color w:val="000000"/>
                <w:sz w:val="18"/>
                <w:szCs w:val="18"/>
              </w:rPr>
              <w:t>有手动维护旁路。当功率模块出现故障时直接退出系统，不会影响到整个系统的运行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vAlign w:val="center"/>
          </w:tcPr>
          <w:p>
            <w:pPr>
              <w:spacing w:before="156" w:beforeLines="50"/>
              <w:rPr>
                <w:rFonts w:ascii="宋体" w:hAnsi="宋体"/>
                <w:b/>
                <w:sz w:val="24"/>
              </w:rPr>
            </w:pPr>
          </w:p>
        </w:tc>
        <w:tc>
          <w:tcPr>
            <w:tcW w:w="8080" w:type="dxa"/>
            <w:gridSpan w:val="2"/>
            <w:vAlign w:val="center"/>
          </w:tcPr>
          <w:p>
            <w:pPr>
              <w:rPr>
                <w:rFonts w:ascii="宋体" w:hAnsi="宋体"/>
                <w:sz w:val="18"/>
                <w:szCs w:val="18"/>
              </w:rPr>
            </w:pPr>
            <w:r>
              <w:rPr>
                <w:rFonts w:hint="eastAsia" w:ascii="宋体" w:hAnsi="宋体"/>
                <w:sz w:val="18"/>
                <w:szCs w:val="18"/>
              </w:rPr>
              <w:t>★UPS主机柜的智能控制模块必须是冗余的，至少含有2套，并且不能含在功率模块内，保证系统控制不会出现单点故障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vAlign w:val="center"/>
          </w:tcPr>
          <w:p>
            <w:pPr>
              <w:spacing w:before="156" w:beforeLines="50"/>
              <w:rPr>
                <w:rFonts w:ascii="宋体" w:hAnsi="宋体"/>
                <w:b/>
                <w:sz w:val="24"/>
              </w:rPr>
            </w:pPr>
          </w:p>
        </w:tc>
        <w:tc>
          <w:tcPr>
            <w:tcW w:w="8080" w:type="dxa"/>
            <w:gridSpan w:val="2"/>
            <w:vAlign w:val="center"/>
          </w:tcPr>
          <w:p>
            <w:pPr>
              <w:rPr>
                <w:rFonts w:ascii="宋体" w:hAnsi="宋体"/>
                <w:sz w:val="18"/>
                <w:szCs w:val="18"/>
              </w:rPr>
            </w:pPr>
            <w:r>
              <w:rPr>
                <w:rFonts w:hint="eastAsia" w:ascii="宋体" w:hAnsi="宋体"/>
                <w:sz w:val="18"/>
                <w:szCs w:val="18"/>
              </w:rPr>
              <w:t>★所有的功率模块、静态旁路模块、智能控制模块、电源模块等均为热插拔设计，可在UPS系统逆变器运行状态下做热插拔维护和更换，不允许转旁路更换维修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vAlign w:val="center"/>
          </w:tcPr>
          <w:p>
            <w:pPr>
              <w:spacing w:before="156" w:beforeLines="50"/>
              <w:rPr>
                <w:rFonts w:ascii="宋体" w:hAnsi="宋体"/>
                <w:b/>
                <w:sz w:val="24"/>
              </w:rPr>
            </w:pPr>
          </w:p>
        </w:tc>
        <w:tc>
          <w:tcPr>
            <w:tcW w:w="8080" w:type="dxa"/>
            <w:gridSpan w:val="2"/>
            <w:vAlign w:val="center"/>
          </w:tcPr>
          <w:p>
            <w:pPr>
              <w:rPr>
                <w:rFonts w:ascii="宋体" w:hAnsi="宋体"/>
                <w:sz w:val="18"/>
                <w:szCs w:val="18"/>
              </w:rPr>
            </w:pPr>
            <w:r>
              <w:rPr>
                <w:rFonts w:hint="eastAsia" w:ascii="宋体" w:hAnsi="宋体"/>
                <w:sz w:val="18"/>
                <w:szCs w:val="18"/>
              </w:rPr>
              <w:t>★U</w:t>
            </w:r>
            <w:r>
              <w:rPr>
                <w:rFonts w:ascii="宋体" w:hAnsi="宋体"/>
                <w:sz w:val="18"/>
                <w:szCs w:val="18"/>
              </w:rPr>
              <w:t>PS</w:t>
            </w:r>
            <w:r>
              <w:rPr>
                <w:rFonts w:hint="eastAsia" w:ascii="宋体" w:hAnsi="宋体"/>
                <w:sz w:val="18"/>
                <w:szCs w:val="18"/>
              </w:rPr>
              <w:t>整体物理</w:t>
            </w:r>
            <w:r>
              <w:rPr>
                <w:rFonts w:ascii="宋体" w:hAnsi="宋体"/>
                <w:sz w:val="18"/>
                <w:szCs w:val="18"/>
              </w:rPr>
              <w:t>结构</w:t>
            </w:r>
            <w:r>
              <w:rPr>
                <w:rFonts w:hint="eastAsia" w:ascii="宋体" w:hAnsi="宋体"/>
                <w:sz w:val="18"/>
                <w:szCs w:val="18"/>
              </w:rPr>
              <w:t>采用接插件+背板母排模式，提高</w:t>
            </w:r>
            <w:r>
              <w:rPr>
                <w:rFonts w:ascii="宋体" w:hAnsi="宋体"/>
                <w:sz w:val="18"/>
                <w:szCs w:val="18"/>
              </w:rPr>
              <w:t>功率模块插拔时的</w:t>
            </w:r>
            <w:r>
              <w:rPr>
                <w:rFonts w:hint="eastAsia" w:ascii="宋体" w:hAnsi="宋体"/>
                <w:sz w:val="18"/>
                <w:szCs w:val="18"/>
              </w:rPr>
              <w:t>机械</w:t>
            </w:r>
            <w:r>
              <w:rPr>
                <w:rFonts w:ascii="宋体" w:hAnsi="宋体"/>
                <w:sz w:val="18"/>
                <w:szCs w:val="18"/>
              </w:rPr>
              <w:t>应力</w:t>
            </w:r>
            <w:r>
              <w:rPr>
                <w:rFonts w:hint="eastAsia" w:ascii="宋体" w:hAnsi="宋体"/>
                <w:sz w:val="18"/>
                <w:szCs w:val="18"/>
              </w:rPr>
              <w:t>，</w:t>
            </w:r>
            <w:r>
              <w:rPr>
                <w:rFonts w:ascii="宋体" w:hAnsi="宋体"/>
                <w:sz w:val="18"/>
                <w:szCs w:val="18"/>
              </w:rPr>
              <w:t>保证安全可靠性。</w:t>
            </w:r>
            <w:r>
              <w:rPr>
                <w:rFonts w:hint="eastAsia" w:ascii="宋体" w:hAnsi="宋体"/>
                <w:sz w:val="18"/>
                <w:szCs w:val="18"/>
              </w:rPr>
              <w:t>（投标人应提供设备彩页样本、图片等证明资料）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vAlign w:val="center"/>
          </w:tcPr>
          <w:p>
            <w:pPr>
              <w:spacing w:before="156" w:beforeLines="50"/>
              <w:rPr>
                <w:rFonts w:ascii="宋体" w:hAnsi="宋体"/>
                <w:b/>
                <w:sz w:val="24"/>
              </w:rPr>
            </w:pPr>
          </w:p>
        </w:tc>
        <w:tc>
          <w:tcPr>
            <w:tcW w:w="8080" w:type="dxa"/>
            <w:gridSpan w:val="2"/>
            <w:vAlign w:val="center"/>
          </w:tcPr>
          <w:p>
            <w:pPr>
              <w:rPr>
                <w:rFonts w:ascii="宋体" w:hAnsi="宋体"/>
                <w:sz w:val="18"/>
                <w:szCs w:val="18"/>
              </w:rPr>
            </w:pPr>
            <w:r>
              <w:rPr>
                <w:rFonts w:hint="eastAsia" w:ascii="宋体" w:hAnsi="宋体"/>
                <w:sz w:val="18"/>
                <w:szCs w:val="18"/>
              </w:rPr>
              <w:t>★功率模块为冗余的CANBUS总线设计，每个功率模块无需设定ID地址，即可随机更换功率模块的位置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vAlign w:val="center"/>
          </w:tcPr>
          <w:p>
            <w:pPr>
              <w:spacing w:before="156" w:beforeLines="50"/>
              <w:rPr>
                <w:rFonts w:ascii="宋体" w:hAnsi="宋体"/>
                <w:b/>
                <w:sz w:val="24"/>
              </w:rPr>
            </w:pPr>
          </w:p>
        </w:tc>
        <w:tc>
          <w:tcPr>
            <w:tcW w:w="8080" w:type="dxa"/>
            <w:gridSpan w:val="2"/>
            <w:vAlign w:val="center"/>
          </w:tcPr>
          <w:p>
            <w:pPr>
              <w:rPr>
                <w:rFonts w:ascii="宋体" w:hAnsi="宋体"/>
                <w:sz w:val="18"/>
                <w:szCs w:val="18"/>
              </w:rPr>
            </w:pPr>
            <w:r>
              <w:rPr>
                <w:rFonts w:hint="eastAsia" w:ascii="宋体" w:hAnsi="宋体"/>
                <w:sz w:val="18"/>
                <w:szCs w:val="18"/>
              </w:rPr>
              <w:t>★UPS系统标配维护旁路柜，</w:t>
            </w:r>
            <w:r>
              <w:rPr>
                <w:rFonts w:ascii="宋体" w:hAnsi="宋体"/>
                <w:sz w:val="18"/>
                <w:szCs w:val="18"/>
              </w:rPr>
              <w:t>内含</w:t>
            </w:r>
            <w:r>
              <w:rPr>
                <w:rFonts w:hint="eastAsia" w:ascii="宋体" w:hAnsi="宋体"/>
                <w:sz w:val="18"/>
                <w:szCs w:val="18"/>
              </w:rPr>
              <w:t>主输入、</w:t>
            </w:r>
            <w:r>
              <w:rPr>
                <w:rFonts w:ascii="宋体" w:hAnsi="宋体"/>
                <w:sz w:val="18"/>
                <w:szCs w:val="18"/>
              </w:rPr>
              <w:t>旁路输入、输出</w:t>
            </w:r>
            <w:r>
              <w:rPr>
                <w:rFonts w:hint="eastAsia" w:ascii="宋体" w:hAnsi="宋体"/>
                <w:sz w:val="18"/>
                <w:szCs w:val="18"/>
              </w:rPr>
              <w:t>和手动维护旁路开关，同时</w:t>
            </w:r>
            <w:r>
              <w:rPr>
                <w:rFonts w:ascii="宋体" w:hAnsi="宋体"/>
                <w:sz w:val="18"/>
                <w:szCs w:val="18"/>
              </w:rPr>
              <w:t>可</w:t>
            </w:r>
            <w:r>
              <w:rPr>
                <w:rFonts w:hint="eastAsia" w:ascii="宋体" w:hAnsi="宋体"/>
                <w:sz w:val="18"/>
                <w:szCs w:val="18"/>
              </w:rPr>
              <w:t>配置多路输出支路开关，并能做支路监控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vAlign w:val="center"/>
          </w:tcPr>
          <w:p>
            <w:pPr>
              <w:spacing w:before="156" w:beforeLines="50"/>
              <w:rPr>
                <w:rFonts w:ascii="宋体" w:hAnsi="宋体"/>
                <w:b/>
                <w:sz w:val="24"/>
              </w:rPr>
            </w:pPr>
          </w:p>
        </w:tc>
        <w:tc>
          <w:tcPr>
            <w:tcW w:w="8080" w:type="dxa"/>
            <w:gridSpan w:val="2"/>
            <w:vAlign w:val="center"/>
          </w:tcPr>
          <w:p>
            <w:pPr>
              <w:rPr>
                <w:rFonts w:ascii="宋体" w:hAnsi="宋体"/>
                <w:sz w:val="18"/>
                <w:szCs w:val="18"/>
              </w:rPr>
            </w:pPr>
            <w:r>
              <w:rPr>
                <w:rFonts w:hint="eastAsia" w:ascii="宋体" w:hAnsi="宋体"/>
                <w:sz w:val="18"/>
                <w:szCs w:val="18"/>
              </w:rPr>
              <w:t>★UPS配置</w:t>
            </w:r>
            <w:r>
              <w:rPr>
                <w:rFonts w:ascii="宋体" w:hAnsi="宋体"/>
                <w:sz w:val="18"/>
                <w:szCs w:val="18"/>
              </w:rPr>
              <w:t>直流开关柜，</w:t>
            </w:r>
            <w:r>
              <w:rPr>
                <w:rFonts w:hint="eastAsia" w:ascii="宋体" w:hAnsi="宋体"/>
                <w:sz w:val="18"/>
                <w:szCs w:val="18"/>
              </w:rPr>
              <w:t>内含</w:t>
            </w:r>
            <w:r>
              <w:rPr>
                <w:rFonts w:ascii="宋体" w:hAnsi="宋体"/>
                <w:sz w:val="18"/>
                <w:szCs w:val="18"/>
              </w:rPr>
              <w:t>专用直流开关，直流开关</w:t>
            </w:r>
            <w:r>
              <w:rPr>
                <w:rFonts w:hint="eastAsia" w:ascii="宋体" w:hAnsi="宋体"/>
                <w:sz w:val="18"/>
                <w:szCs w:val="18"/>
              </w:rPr>
              <w:t>与</w:t>
            </w:r>
            <w:r>
              <w:rPr>
                <w:rFonts w:ascii="宋体" w:hAnsi="宋体"/>
                <w:sz w:val="18"/>
                <w:szCs w:val="18"/>
              </w:rPr>
              <w:t>UPS主机采用母排连接，并且要求柜体与UPS主机相同。</w:t>
            </w:r>
            <w:r>
              <w:rPr>
                <w:rFonts w:hint="eastAsia" w:ascii="宋体" w:hAnsi="宋体"/>
                <w:sz w:val="18"/>
                <w:szCs w:val="18"/>
              </w:rPr>
              <w:t>（投标人应提供设备彩页样本、图片等证明资料）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vAlign w:val="center"/>
          </w:tcPr>
          <w:p>
            <w:pPr>
              <w:spacing w:before="156" w:beforeLines="50"/>
              <w:rPr>
                <w:rFonts w:ascii="宋体" w:hAnsi="宋体"/>
                <w:b/>
                <w:sz w:val="24"/>
              </w:rPr>
            </w:pPr>
          </w:p>
        </w:tc>
        <w:tc>
          <w:tcPr>
            <w:tcW w:w="8080" w:type="dxa"/>
            <w:gridSpan w:val="2"/>
            <w:vAlign w:val="center"/>
          </w:tcPr>
          <w:p>
            <w:pPr>
              <w:rPr>
                <w:rFonts w:ascii="宋体" w:hAnsi="宋体"/>
                <w:sz w:val="18"/>
                <w:szCs w:val="18"/>
              </w:rPr>
            </w:pPr>
            <w:r>
              <w:rPr>
                <w:rFonts w:hint="eastAsia" w:ascii="宋体" w:hAnsi="宋体"/>
                <w:sz w:val="18"/>
                <w:szCs w:val="18"/>
              </w:rPr>
              <w:t>★</w:t>
            </w:r>
            <w:r>
              <w:rPr>
                <w:rFonts w:ascii="宋体" w:hAnsi="宋体"/>
                <w:sz w:val="18"/>
                <w:szCs w:val="18"/>
              </w:rPr>
              <w:t>UPS必须配置网络监控卡（</w:t>
            </w:r>
            <w:r>
              <w:rPr>
                <w:rFonts w:hint="eastAsia" w:ascii="宋体" w:hAnsi="宋体"/>
                <w:sz w:val="18"/>
                <w:szCs w:val="18"/>
              </w:rPr>
              <w:t>同时可实现RS485和SNMP协议使用</w:t>
            </w:r>
            <w:r>
              <w:rPr>
                <w:rFonts w:ascii="宋体" w:hAnsi="宋体"/>
                <w:sz w:val="18"/>
                <w:szCs w:val="18"/>
              </w:rPr>
              <w:t>），实现访问和管理UPS的功能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vAlign w:val="center"/>
          </w:tcPr>
          <w:p>
            <w:pPr>
              <w:spacing w:before="156" w:beforeLines="50"/>
              <w:rPr>
                <w:rFonts w:ascii="宋体" w:hAnsi="宋体"/>
                <w:b/>
                <w:sz w:val="24"/>
              </w:rPr>
            </w:pPr>
          </w:p>
        </w:tc>
        <w:tc>
          <w:tcPr>
            <w:tcW w:w="8080" w:type="dxa"/>
            <w:gridSpan w:val="2"/>
            <w:vAlign w:val="center"/>
          </w:tcPr>
          <w:p>
            <w:pPr>
              <w:rPr>
                <w:rFonts w:ascii="宋体" w:hAnsi="宋体"/>
                <w:sz w:val="18"/>
                <w:szCs w:val="18"/>
              </w:rPr>
            </w:pPr>
            <w:r>
              <w:rPr>
                <w:rFonts w:ascii="宋体" w:hAnsi="宋体"/>
                <w:sz w:val="18"/>
                <w:szCs w:val="18"/>
              </w:rPr>
              <w:t>UPS必须配置串口（RS232接口），并免费提供通讯协议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vAlign w:val="center"/>
          </w:tcPr>
          <w:p>
            <w:pPr>
              <w:spacing w:before="156" w:beforeLines="50"/>
              <w:rPr>
                <w:rFonts w:ascii="宋体" w:hAnsi="宋体"/>
                <w:b/>
                <w:sz w:val="24"/>
              </w:rPr>
            </w:pPr>
          </w:p>
        </w:tc>
        <w:tc>
          <w:tcPr>
            <w:tcW w:w="8080" w:type="dxa"/>
            <w:gridSpan w:val="2"/>
            <w:vAlign w:val="center"/>
          </w:tcPr>
          <w:p>
            <w:pPr>
              <w:rPr>
                <w:rFonts w:ascii="宋体" w:hAnsi="宋体"/>
                <w:sz w:val="18"/>
                <w:szCs w:val="18"/>
              </w:rPr>
            </w:pPr>
            <w:r>
              <w:rPr>
                <w:rFonts w:hint="eastAsia" w:ascii="宋体" w:hAnsi="宋体"/>
                <w:sz w:val="18"/>
                <w:szCs w:val="18"/>
              </w:rPr>
              <w:t>★</w:t>
            </w:r>
            <w:r>
              <w:rPr>
                <w:rFonts w:ascii="宋体" w:hAnsi="宋体"/>
                <w:sz w:val="18"/>
                <w:szCs w:val="18"/>
              </w:rPr>
              <w:t>UPS具有</w:t>
            </w:r>
            <w:r>
              <w:rPr>
                <w:rFonts w:hint="eastAsia" w:ascii="宋体" w:hAnsi="宋体"/>
                <w:sz w:val="18"/>
                <w:szCs w:val="18"/>
              </w:rPr>
              <w:t>彩色触摸大尺寸中文不小于10寸</w:t>
            </w:r>
            <w:r>
              <w:rPr>
                <w:rFonts w:ascii="宋体" w:hAnsi="宋体"/>
                <w:sz w:val="18"/>
                <w:szCs w:val="18"/>
              </w:rPr>
              <w:t>LCD显示屏，本地化</w:t>
            </w:r>
            <w:r>
              <w:rPr>
                <w:rFonts w:hint="eastAsia" w:ascii="宋体" w:hAnsi="宋体"/>
                <w:sz w:val="18"/>
                <w:szCs w:val="18"/>
              </w:rPr>
              <w:t>中英</w:t>
            </w:r>
            <w:r>
              <w:rPr>
                <w:rFonts w:ascii="宋体" w:hAnsi="宋体"/>
                <w:sz w:val="18"/>
                <w:szCs w:val="18"/>
              </w:rPr>
              <w:t>显示系统的运行状况。</w:t>
            </w:r>
            <w:r>
              <w:rPr>
                <w:rFonts w:hint="eastAsia" w:ascii="宋体" w:hAnsi="宋体"/>
                <w:sz w:val="18"/>
                <w:szCs w:val="18"/>
              </w:rPr>
              <w:t>并可利用USB端口直接升级和保存故障数据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vAlign w:val="center"/>
          </w:tcPr>
          <w:p>
            <w:pPr>
              <w:spacing w:before="156" w:beforeLines="50"/>
              <w:rPr>
                <w:rFonts w:ascii="宋体" w:hAnsi="宋体"/>
                <w:b/>
                <w:sz w:val="24"/>
              </w:rPr>
            </w:pPr>
          </w:p>
        </w:tc>
        <w:tc>
          <w:tcPr>
            <w:tcW w:w="8080" w:type="dxa"/>
            <w:gridSpan w:val="2"/>
            <w:vAlign w:val="center"/>
          </w:tcPr>
          <w:p>
            <w:pPr>
              <w:rPr>
                <w:rFonts w:ascii="宋体" w:hAnsi="宋体"/>
                <w:sz w:val="18"/>
                <w:szCs w:val="18"/>
              </w:rPr>
            </w:pPr>
            <w:r>
              <w:rPr>
                <w:rFonts w:hint="eastAsia" w:ascii="宋体" w:hAnsi="宋体"/>
                <w:sz w:val="18"/>
                <w:szCs w:val="18"/>
              </w:rPr>
              <w:t>★</w:t>
            </w:r>
            <w:r>
              <w:rPr>
                <w:rFonts w:ascii="宋体" w:hAnsi="宋体"/>
                <w:sz w:val="18"/>
                <w:szCs w:val="18"/>
              </w:rPr>
              <w:t>UPS具备用以下保护功能：过压保护、低压保护、温度监控、过载、电池低压、断电</w:t>
            </w:r>
            <w:r>
              <w:rPr>
                <w:rFonts w:hint="eastAsia" w:ascii="宋体" w:hAnsi="宋体"/>
                <w:sz w:val="18"/>
                <w:szCs w:val="18"/>
              </w:rPr>
              <w:t>、故障状态的波形图，</w:t>
            </w:r>
            <w:r>
              <w:rPr>
                <w:rFonts w:ascii="宋体" w:hAnsi="宋体"/>
                <w:sz w:val="18"/>
                <w:szCs w:val="18"/>
              </w:rPr>
              <w:t>等均由微处理器监控，并自动进行处理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vAlign w:val="center"/>
          </w:tcPr>
          <w:p>
            <w:pPr>
              <w:spacing w:before="156" w:beforeLines="50"/>
              <w:rPr>
                <w:rFonts w:ascii="宋体" w:hAnsi="宋体"/>
                <w:b/>
                <w:sz w:val="24"/>
              </w:rPr>
            </w:pPr>
          </w:p>
        </w:tc>
        <w:tc>
          <w:tcPr>
            <w:tcW w:w="8080" w:type="dxa"/>
            <w:gridSpan w:val="2"/>
            <w:vAlign w:val="center"/>
          </w:tcPr>
          <w:p>
            <w:pPr>
              <w:rPr>
                <w:rFonts w:ascii="宋体" w:hAnsi="宋体"/>
                <w:sz w:val="18"/>
                <w:szCs w:val="18"/>
              </w:rPr>
            </w:pPr>
            <w:r>
              <w:rPr>
                <w:rFonts w:ascii="宋体" w:hAnsi="宋体"/>
                <w:sz w:val="18"/>
                <w:szCs w:val="18"/>
              </w:rPr>
              <w:t>UPS</w:t>
            </w:r>
            <w:r>
              <w:rPr>
                <w:rFonts w:hint="eastAsia" w:ascii="宋体" w:hAnsi="宋体"/>
                <w:sz w:val="18"/>
                <w:szCs w:val="18"/>
              </w:rPr>
              <w:t xml:space="preserve"> 为标准</w:t>
            </w:r>
            <w:r>
              <w:rPr>
                <w:rFonts w:ascii="宋体" w:hAnsi="宋体"/>
                <w:sz w:val="18"/>
                <w:szCs w:val="18"/>
              </w:rPr>
              <w:t>机柜外观，黑色网孔门设计，能与</w:t>
            </w:r>
            <w:r>
              <w:rPr>
                <w:rFonts w:hint="eastAsia" w:ascii="宋体" w:hAnsi="宋体"/>
                <w:sz w:val="18"/>
                <w:szCs w:val="18"/>
              </w:rPr>
              <w:t>服务器/网络</w:t>
            </w:r>
            <w:r>
              <w:rPr>
                <w:rFonts w:ascii="宋体" w:hAnsi="宋体"/>
                <w:sz w:val="18"/>
                <w:szCs w:val="18"/>
              </w:rPr>
              <w:t>机柜并排安装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vAlign w:val="center"/>
          </w:tcPr>
          <w:p>
            <w:pPr>
              <w:spacing w:before="156" w:beforeLines="50"/>
              <w:rPr>
                <w:rFonts w:ascii="宋体" w:hAnsi="宋体"/>
                <w:b/>
                <w:sz w:val="24"/>
              </w:rPr>
            </w:pPr>
          </w:p>
        </w:tc>
        <w:tc>
          <w:tcPr>
            <w:tcW w:w="8080" w:type="dxa"/>
            <w:gridSpan w:val="2"/>
            <w:vAlign w:val="center"/>
          </w:tcPr>
          <w:p>
            <w:pPr>
              <w:rPr>
                <w:rFonts w:ascii="宋体" w:hAnsi="宋体"/>
                <w:sz w:val="18"/>
                <w:szCs w:val="18"/>
              </w:rPr>
            </w:pPr>
            <w:r>
              <w:rPr>
                <w:rFonts w:ascii="宋体" w:hAnsi="宋体"/>
                <w:sz w:val="18"/>
                <w:szCs w:val="18"/>
              </w:rPr>
              <w:t>UPS系统必须符合主机房的整体走线方式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1418" w:type="dxa"/>
            <w:vMerge w:val="restart"/>
            <w:vAlign w:val="center"/>
          </w:tcPr>
          <w:p>
            <w:pPr>
              <w:spacing w:before="156" w:beforeLines="50"/>
              <w:rPr>
                <w:rFonts w:ascii="宋体" w:hAnsi="宋体"/>
                <w:b/>
                <w:sz w:val="24"/>
              </w:rPr>
            </w:pPr>
            <w:r>
              <w:rPr>
                <w:rFonts w:ascii="宋体" w:hAnsi="宋体"/>
                <w:sz w:val="18"/>
                <w:szCs w:val="18"/>
              </w:rPr>
              <w:t>电气特性</w:t>
            </w:r>
          </w:p>
        </w:tc>
        <w:tc>
          <w:tcPr>
            <w:tcW w:w="1418" w:type="dxa"/>
            <w:vMerge w:val="restart"/>
            <w:vAlign w:val="center"/>
          </w:tcPr>
          <w:p>
            <w:pPr>
              <w:spacing w:before="156" w:beforeLines="50"/>
              <w:rPr>
                <w:rFonts w:ascii="宋体" w:hAnsi="宋体"/>
                <w:b/>
                <w:sz w:val="24"/>
              </w:rPr>
            </w:pPr>
            <w:r>
              <w:rPr>
                <w:rFonts w:hint="eastAsia" w:ascii="宋体" w:hAnsi="宋体"/>
                <w:sz w:val="18"/>
                <w:szCs w:val="18"/>
              </w:rPr>
              <w:t>UPS 输入特性</w:t>
            </w:r>
          </w:p>
        </w:tc>
        <w:tc>
          <w:tcPr>
            <w:tcW w:w="6662" w:type="dxa"/>
            <w:vAlign w:val="center"/>
          </w:tcPr>
          <w:p>
            <w:pPr>
              <w:rPr>
                <w:rFonts w:ascii="宋体" w:hAnsi="宋体"/>
                <w:sz w:val="18"/>
                <w:szCs w:val="18"/>
              </w:rPr>
            </w:pPr>
            <w:r>
              <w:rPr>
                <w:rFonts w:hint="eastAsia" w:ascii="宋体" w:hAnsi="宋体"/>
                <w:sz w:val="18"/>
                <w:szCs w:val="18"/>
              </w:rPr>
              <w:t>输入制式:  3P+N+G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vAlign w:val="center"/>
          </w:tcPr>
          <w:p>
            <w:pPr>
              <w:spacing w:before="156" w:beforeLines="50"/>
              <w:rPr>
                <w:rFonts w:ascii="宋体" w:hAnsi="宋体"/>
                <w:b/>
                <w:sz w:val="24"/>
              </w:rPr>
            </w:pPr>
          </w:p>
        </w:tc>
        <w:tc>
          <w:tcPr>
            <w:tcW w:w="1418" w:type="dxa"/>
            <w:vMerge w:val="continue"/>
            <w:vAlign w:val="center"/>
          </w:tcPr>
          <w:p>
            <w:pPr>
              <w:spacing w:before="156" w:beforeLines="50"/>
              <w:rPr>
                <w:rFonts w:ascii="宋体" w:hAnsi="宋体"/>
                <w:b/>
                <w:sz w:val="24"/>
              </w:rPr>
            </w:pPr>
          </w:p>
        </w:tc>
        <w:tc>
          <w:tcPr>
            <w:tcW w:w="6662" w:type="dxa"/>
            <w:vAlign w:val="center"/>
          </w:tcPr>
          <w:p>
            <w:pPr>
              <w:rPr>
                <w:rFonts w:ascii="宋体" w:hAnsi="宋体"/>
                <w:sz w:val="18"/>
                <w:szCs w:val="18"/>
              </w:rPr>
            </w:pPr>
            <w:r>
              <w:rPr>
                <w:rFonts w:hint="eastAsia" w:ascii="宋体" w:hAnsi="宋体"/>
                <w:sz w:val="18"/>
                <w:szCs w:val="18"/>
              </w:rPr>
              <w:t xml:space="preserve">输入电压范围:  满载 </w:t>
            </w:r>
            <w:r>
              <w:rPr>
                <w:rFonts w:ascii="宋体" w:hAnsi="宋体"/>
                <w:sz w:val="18"/>
                <w:szCs w:val="18"/>
              </w:rPr>
              <w:t>340 - 460V</w:t>
            </w:r>
            <w:r>
              <w:rPr>
                <w:rFonts w:hint="eastAsia" w:ascii="宋体" w:hAnsi="宋体"/>
                <w:sz w:val="18"/>
                <w:szCs w:val="18"/>
              </w:rPr>
              <w:t>，半载  200- 460V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vAlign w:val="center"/>
          </w:tcPr>
          <w:p>
            <w:pPr>
              <w:spacing w:before="156" w:beforeLines="50"/>
              <w:rPr>
                <w:rFonts w:ascii="宋体" w:hAnsi="宋体"/>
                <w:b/>
                <w:sz w:val="24"/>
              </w:rPr>
            </w:pPr>
          </w:p>
        </w:tc>
        <w:tc>
          <w:tcPr>
            <w:tcW w:w="1418" w:type="dxa"/>
            <w:vMerge w:val="continue"/>
            <w:vAlign w:val="center"/>
          </w:tcPr>
          <w:p>
            <w:pPr>
              <w:spacing w:before="156" w:beforeLines="50"/>
              <w:rPr>
                <w:rFonts w:ascii="宋体" w:hAnsi="宋体"/>
                <w:b/>
                <w:sz w:val="24"/>
              </w:rPr>
            </w:pPr>
          </w:p>
        </w:tc>
        <w:tc>
          <w:tcPr>
            <w:tcW w:w="6662" w:type="dxa"/>
            <w:vAlign w:val="center"/>
          </w:tcPr>
          <w:p>
            <w:pPr>
              <w:rPr>
                <w:rFonts w:ascii="宋体" w:hAnsi="宋体"/>
                <w:sz w:val="18"/>
                <w:szCs w:val="18"/>
              </w:rPr>
            </w:pPr>
            <w:r>
              <w:rPr>
                <w:rFonts w:hint="eastAsia" w:ascii="宋体" w:hAnsi="宋体"/>
                <w:sz w:val="18"/>
                <w:szCs w:val="18"/>
              </w:rPr>
              <w:t>输入功率因数:  半载:  &gt;0.99，25%负载:  &gt;0.97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vAlign w:val="center"/>
          </w:tcPr>
          <w:p>
            <w:pPr>
              <w:spacing w:before="156" w:beforeLines="50"/>
              <w:rPr>
                <w:rFonts w:ascii="宋体" w:hAnsi="宋体"/>
                <w:b/>
                <w:sz w:val="24"/>
              </w:rPr>
            </w:pPr>
          </w:p>
        </w:tc>
        <w:tc>
          <w:tcPr>
            <w:tcW w:w="1418" w:type="dxa"/>
            <w:vMerge w:val="continue"/>
            <w:vAlign w:val="center"/>
          </w:tcPr>
          <w:p>
            <w:pPr>
              <w:spacing w:before="156" w:beforeLines="50"/>
              <w:rPr>
                <w:rFonts w:ascii="宋体" w:hAnsi="宋体"/>
                <w:b/>
                <w:sz w:val="24"/>
              </w:rPr>
            </w:pPr>
          </w:p>
        </w:tc>
        <w:tc>
          <w:tcPr>
            <w:tcW w:w="6662" w:type="dxa"/>
            <w:vAlign w:val="center"/>
          </w:tcPr>
          <w:p>
            <w:pPr>
              <w:rPr>
                <w:rFonts w:ascii="宋体" w:hAnsi="宋体"/>
                <w:sz w:val="18"/>
                <w:szCs w:val="18"/>
              </w:rPr>
            </w:pPr>
            <w:r>
              <w:rPr>
                <w:rFonts w:hint="eastAsia" w:ascii="宋体" w:hAnsi="宋体"/>
                <w:sz w:val="18"/>
                <w:szCs w:val="18"/>
              </w:rPr>
              <w:t>输入电流谐波: &lt;5%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vAlign w:val="center"/>
          </w:tcPr>
          <w:p>
            <w:pPr>
              <w:spacing w:before="156" w:beforeLines="50"/>
              <w:rPr>
                <w:rFonts w:ascii="宋体" w:hAnsi="宋体"/>
                <w:b/>
                <w:sz w:val="24"/>
              </w:rPr>
            </w:pPr>
          </w:p>
        </w:tc>
        <w:tc>
          <w:tcPr>
            <w:tcW w:w="1418" w:type="dxa"/>
            <w:vMerge w:val="continue"/>
            <w:vAlign w:val="center"/>
          </w:tcPr>
          <w:p>
            <w:pPr>
              <w:spacing w:before="156" w:beforeLines="50"/>
              <w:rPr>
                <w:rFonts w:ascii="宋体" w:hAnsi="宋体"/>
                <w:b/>
                <w:sz w:val="24"/>
              </w:rPr>
            </w:pPr>
          </w:p>
        </w:tc>
        <w:tc>
          <w:tcPr>
            <w:tcW w:w="6662" w:type="dxa"/>
            <w:vAlign w:val="center"/>
          </w:tcPr>
          <w:p>
            <w:pPr>
              <w:rPr>
                <w:rFonts w:ascii="宋体" w:hAnsi="宋体"/>
                <w:sz w:val="18"/>
                <w:szCs w:val="18"/>
              </w:rPr>
            </w:pPr>
            <w:r>
              <w:rPr>
                <w:rFonts w:hint="eastAsia" w:ascii="宋体" w:hAnsi="宋体"/>
                <w:sz w:val="18"/>
                <w:szCs w:val="18"/>
              </w:rPr>
              <w:t>具备软启动功能：1-60秒软启动时间可以调整以实现与发电机的匹配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vAlign w:val="center"/>
          </w:tcPr>
          <w:p>
            <w:pPr>
              <w:spacing w:before="156" w:beforeLines="50"/>
              <w:rPr>
                <w:rFonts w:ascii="宋体" w:hAnsi="宋体"/>
                <w:b/>
                <w:sz w:val="24"/>
              </w:rPr>
            </w:pPr>
          </w:p>
        </w:tc>
        <w:tc>
          <w:tcPr>
            <w:tcW w:w="1418" w:type="dxa"/>
            <w:vMerge w:val="restart"/>
            <w:vAlign w:val="center"/>
          </w:tcPr>
          <w:p>
            <w:pPr>
              <w:spacing w:before="156" w:beforeLines="50"/>
              <w:rPr>
                <w:rFonts w:ascii="宋体" w:hAnsi="宋体"/>
                <w:b/>
                <w:sz w:val="24"/>
              </w:rPr>
            </w:pPr>
            <w:r>
              <w:rPr>
                <w:rFonts w:hint="eastAsia" w:ascii="宋体" w:hAnsi="宋体"/>
                <w:sz w:val="18"/>
                <w:szCs w:val="18"/>
              </w:rPr>
              <w:t>UPS 输出特性</w:t>
            </w:r>
          </w:p>
        </w:tc>
        <w:tc>
          <w:tcPr>
            <w:tcW w:w="6662" w:type="dxa"/>
            <w:vAlign w:val="center"/>
          </w:tcPr>
          <w:p>
            <w:pPr>
              <w:rPr>
                <w:rFonts w:ascii="宋体" w:hAnsi="宋体"/>
                <w:sz w:val="18"/>
                <w:szCs w:val="18"/>
              </w:rPr>
            </w:pPr>
            <w:r>
              <w:rPr>
                <w:rFonts w:hint="eastAsia" w:ascii="宋体" w:hAnsi="宋体"/>
                <w:sz w:val="18"/>
                <w:szCs w:val="18"/>
              </w:rPr>
              <w:t>输出制式: 3P+N+G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vAlign w:val="center"/>
          </w:tcPr>
          <w:p>
            <w:pPr>
              <w:spacing w:before="156" w:beforeLines="50"/>
              <w:rPr>
                <w:rFonts w:ascii="宋体" w:hAnsi="宋体"/>
                <w:b/>
                <w:sz w:val="24"/>
              </w:rPr>
            </w:pPr>
          </w:p>
        </w:tc>
        <w:tc>
          <w:tcPr>
            <w:tcW w:w="1418" w:type="dxa"/>
            <w:vMerge w:val="continue"/>
            <w:vAlign w:val="center"/>
          </w:tcPr>
          <w:p>
            <w:pPr>
              <w:spacing w:before="156" w:beforeLines="50"/>
              <w:rPr>
                <w:rFonts w:ascii="宋体" w:hAnsi="宋体"/>
                <w:b/>
                <w:sz w:val="24"/>
              </w:rPr>
            </w:pPr>
          </w:p>
        </w:tc>
        <w:tc>
          <w:tcPr>
            <w:tcW w:w="6662" w:type="dxa"/>
            <w:vAlign w:val="center"/>
          </w:tcPr>
          <w:p>
            <w:pPr>
              <w:rPr>
                <w:rFonts w:ascii="宋体" w:hAnsi="宋体"/>
                <w:sz w:val="18"/>
                <w:szCs w:val="18"/>
              </w:rPr>
            </w:pPr>
            <w:r>
              <w:rPr>
                <w:rFonts w:hint="eastAsia" w:ascii="宋体" w:hAnsi="宋体"/>
                <w:sz w:val="18"/>
                <w:szCs w:val="18"/>
              </w:rPr>
              <w:t>输出电压谐波:  &lt;2%, 100%线性负载，&lt;6%, 100%非线性负载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vAlign w:val="center"/>
          </w:tcPr>
          <w:p>
            <w:pPr>
              <w:spacing w:before="156" w:beforeLines="50"/>
              <w:rPr>
                <w:rFonts w:ascii="宋体" w:hAnsi="宋体"/>
                <w:b/>
                <w:sz w:val="24"/>
              </w:rPr>
            </w:pPr>
          </w:p>
        </w:tc>
        <w:tc>
          <w:tcPr>
            <w:tcW w:w="1418" w:type="dxa"/>
            <w:vMerge w:val="continue"/>
            <w:vAlign w:val="center"/>
          </w:tcPr>
          <w:p>
            <w:pPr>
              <w:spacing w:before="156" w:beforeLines="50"/>
              <w:rPr>
                <w:rFonts w:ascii="宋体" w:hAnsi="宋体"/>
                <w:b/>
                <w:sz w:val="24"/>
              </w:rPr>
            </w:pPr>
          </w:p>
        </w:tc>
        <w:tc>
          <w:tcPr>
            <w:tcW w:w="6662" w:type="dxa"/>
            <w:vAlign w:val="center"/>
          </w:tcPr>
          <w:p>
            <w:pPr>
              <w:rPr>
                <w:rFonts w:ascii="宋体" w:hAnsi="宋体"/>
                <w:sz w:val="18"/>
                <w:szCs w:val="18"/>
              </w:rPr>
            </w:pPr>
            <w:r>
              <w:rPr>
                <w:rFonts w:hint="eastAsia" w:ascii="宋体" w:hAnsi="宋体"/>
                <w:sz w:val="18"/>
                <w:szCs w:val="18"/>
              </w:rPr>
              <w:t>输出电压精度: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vAlign w:val="center"/>
          </w:tcPr>
          <w:p>
            <w:pPr>
              <w:spacing w:before="156" w:beforeLines="50"/>
              <w:rPr>
                <w:rFonts w:ascii="宋体" w:hAnsi="宋体"/>
                <w:b/>
                <w:sz w:val="24"/>
              </w:rPr>
            </w:pPr>
          </w:p>
        </w:tc>
        <w:tc>
          <w:tcPr>
            <w:tcW w:w="1418" w:type="dxa"/>
            <w:vMerge w:val="continue"/>
            <w:vAlign w:val="center"/>
          </w:tcPr>
          <w:p>
            <w:pPr>
              <w:spacing w:before="156" w:beforeLines="50"/>
              <w:rPr>
                <w:rFonts w:ascii="宋体" w:hAnsi="宋体"/>
                <w:b/>
                <w:sz w:val="24"/>
              </w:rPr>
            </w:pPr>
          </w:p>
        </w:tc>
        <w:tc>
          <w:tcPr>
            <w:tcW w:w="6662" w:type="dxa"/>
            <w:vAlign w:val="center"/>
          </w:tcPr>
          <w:p>
            <w:pPr>
              <w:rPr>
                <w:rFonts w:ascii="宋体" w:hAnsi="宋体"/>
                <w:sz w:val="18"/>
                <w:szCs w:val="18"/>
              </w:rPr>
            </w:pPr>
            <w:r>
              <w:rPr>
                <w:rFonts w:hint="eastAsia" w:ascii="宋体" w:hAnsi="宋体"/>
                <w:sz w:val="18"/>
                <w:szCs w:val="18"/>
              </w:rPr>
              <w:t>过载能力：150%过载, 可以支持60秒</w:t>
            </w:r>
            <w:r>
              <w:rPr>
                <w:rFonts w:ascii="宋体" w:hAnsi="宋体"/>
                <w:sz w:val="18"/>
                <w:szCs w:val="18"/>
              </w:rPr>
              <w:t>，</w:t>
            </w:r>
            <w:r>
              <w:rPr>
                <w:rFonts w:hint="eastAsia" w:ascii="宋体" w:hAnsi="宋体"/>
                <w:sz w:val="18"/>
                <w:szCs w:val="18"/>
              </w:rPr>
              <w:t>125%过载, 可以支持10分钟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vAlign w:val="center"/>
          </w:tcPr>
          <w:p>
            <w:pPr>
              <w:spacing w:before="156" w:beforeLines="50"/>
              <w:rPr>
                <w:rFonts w:ascii="宋体" w:hAnsi="宋体"/>
                <w:b/>
                <w:sz w:val="24"/>
              </w:rPr>
            </w:pPr>
          </w:p>
        </w:tc>
        <w:tc>
          <w:tcPr>
            <w:tcW w:w="1418" w:type="dxa"/>
            <w:vMerge w:val="continue"/>
            <w:vAlign w:val="center"/>
          </w:tcPr>
          <w:p>
            <w:pPr>
              <w:spacing w:before="156" w:beforeLines="50"/>
              <w:rPr>
                <w:rFonts w:ascii="宋体" w:hAnsi="宋体"/>
                <w:b/>
                <w:sz w:val="24"/>
              </w:rPr>
            </w:pPr>
          </w:p>
        </w:tc>
        <w:tc>
          <w:tcPr>
            <w:tcW w:w="6662" w:type="dxa"/>
            <w:vAlign w:val="center"/>
          </w:tcPr>
          <w:p>
            <w:pPr>
              <w:rPr>
                <w:rFonts w:ascii="宋体" w:hAnsi="宋体"/>
                <w:sz w:val="18"/>
                <w:szCs w:val="18"/>
              </w:rPr>
            </w:pPr>
            <w:r>
              <w:rPr>
                <w:rFonts w:hint="eastAsia" w:ascii="宋体" w:hAnsi="宋体"/>
                <w:sz w:val="18"/>
                <w:szCs w:val="18"/>
              </w:rPr>
              <w:t>系统效率:  &gt;96%  40%-100% 负载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restart"/>
            <w:vAlign w:val="center"/>
          </w:tcPr>
          <w:p>
            <w:pPr>
              <w:spacing w:before="156" w:beforeLines="50"/>
              <w:rPr>
                <w:rFonts w:ascii="宋体" w:hAnsi="宋体"/>
                <w:b/>
                <w:sz w:val="24"/>
              </w:rPr>
            </w:pPr>
            <w:r>
              <w:rPr>
                <w:rFonts w:hint="eastAsia" w:ascii="宋体" w:hAnsi="宋体"/>
                <w:sz w:val="18"/>
                <w:szCs w:val="18"/>
              </w:rPr>
              <w:t>远程UPS监视</w:t>
            </w:r>
          </w:p>
        </w:tc>
        <w:tc>
          <w:tcPr>
            <w:tcW w:w="1418" w:type="dxa"/>
            <w:vMerge w:val="restart"/>
            <w:vAlign w:val="center"/>
          </w:tcPr>
          <w:p>
            <w:pPr>
              <w:spacing w:before="156" w:beforeLines="50"/>
              <w:rPr>
                <w:rFonts w:ascii="宋体" w:hAnsi="宋体"/>
                <w:b/>
                <w:sz w:val="24"/>
              </w:rPr>
            </w:pPr>
            <w:r>
              <w:rPr>
                <w:rFonts w:hint="eastAsia" w:ascii="宋体" w:hAnsi="宋体"/>
                <w:sz w:val="18"/>
                <w:szCs w:val="18"/>
              </w:rPr>
              <w:t>能够通过网络浏览器,实现对系统各部件的集成监控</w:t>
            </w:r>
          </w:p>
        </w:tc>
        <w:tc>
          <w:tcPr>
            <w:tcW w:w="6662" w:type="dxa"/>
            <w:vAlign w:val="center"/>
          </w:tcPr>
          <w:p>
            <w:pPr>
              <w:rPr>
                <w:rFonts w:ascii="宋体" w:hAnsi="宋体"/>
                <w:b/>
                <w:sz w:val="24"/>
              </w:rPr>
            </w:pPr>
            <w:r>
              <w:rPr>
                <w:rFonts w:hint="eastAsia" w:ascii="宋体" w:hAnsi="宋体"/>
                <w:sz w:val="18"/>
                <w:szCs w:val="18"/>
              </w:rPr>
              <w:t>★UPS及其前后端（输入输出开关，维护旁路开关，输出支路开关）的电气参数（例如电压、电流、功率（有功/无功）、功率因数等）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vAlign w:val="center"/>
          </w:tcPr>
          <w:p>
            <w:pPr>
              <w:spacing w:before="156" w:beforeLines="50"/>
              <w:rPr>
                <w:rFonts w:ascii="宋体" w:hAnsi="宋体"/>
                <w:b/>
                <w:sz w:val="24"/>
              </w:rPr>
            </w:pPr>
          </w:p>
        </w:tc>
        <w:tc>
          <w:tcPr>
            <w:tcW w:w="1418" w:type="dxa"/>
            <w:vMerge w:val="continue"/>
            <w:vAlign w:val="center"/>
          </w:tcPr>
          <w:p>
            <w:pPr>
              <w:spacing w:before="156" w:beforeLines="50"/>
              <w:rPr>
                <w:rFonts w:ascii="宋体" w:hAnsi="宋体"/>
                <w:b/>
                <w:sz w:val="24"/>
              </w:rPr>
            </w:pPr>
          </w:p>
        </w:tc>
        <w:tc>
          <w:tcPr>
            <w:tcW w:w="6662" w:type="dxa"/>
            <w:vAlign w:val="center"/>
          </w:tcPr>
          <w:p>
            <w:pPr>
              <w:rPr>
                <w:rFonts w:ascii="宋体" w:hAnsi="宋体"/>
                <w:sz w:val="18"/>
                <w:szCs w:val="18"/>
              </w:rPr>
            </w:pPr>
            <w:r>
              <w:rPr>
                <w:rFonts w:hint="eastAsia" w:ascii="宋体" w:hAnsi="宋体"/>
                <w:sz w:val="18"/>
                <w:szCs w:val="18"/>
              </w:rPr>
              <w:t>★功率模块工作状态，冗余级别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vAlign w:val="center"/>
          </w:tcPr>
          <w:p>
            <w:pPr>
              <w:spacing w:before="156" w:beforeLines="50"/>
              <w:rPr>
                <w:rFonts w:ascii="宋体" w:hAnsi="宋体"/>
                <w:b/>
                <w:sz w:val="24"/>
              </w:rPr>
            </w:pPr>
          </w:p>
        </w:tc>
        <w:tc>
          <w:tcPr>
            <w:tcW w:w="1418" w:type="dxa"/>
            <w:vMerge w:val="continue"/>
            <w:vAlign w:val="center"/>
          </w:tcPr>
          <w:p>
            <w:pPr>
              <w:spacing w:before="156" w:beforeLines="50"/>
              <w:rPr>
                <w:rFonts w:ascii="宋体" w:hAnsi="宋体"/>
                <w:b/>
                <w:sz w:val="24"/>
              </w:rPr>
            </w:pPr>
          </w:p>
        </w:tc>
        <w:tc>
          <w:tcPr>
            <w:tcW w:w="6662" w:type="dxa"/>
            <w:vAlign w:val="center"/>
          </w:tcPr>
          <w:p>
            <w:pPr>
              <w:rPr>
                <w:rFonts w:ascii="宋体" w:hAnsi="宋体"/>
                <w:sz w:val="18"/>
                <w:szCs w:val="18"/>
              </w:rPr>
            </w:pPr>
            <w:r>
              <w:rPr>
                <w:rFonts w:hint="eastAsia" w:ascii="宋体" w:hAnsi="宋体"/>
                <w:sz w:val="18"/>
                <w:szCs w:val="18"/>
              </w:rPr>
              <w:t>★维护旁路操作记录，故障日志等，配电柜门得开启记录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vAlign w:val="center"/>
          </w:tcPr>
          <w:p>
            <w:pPr>
              <w:spacing w:before="156" w:beforeLines="50"/>
              <w:rPr>
                <w:rFonts w:ascii="宋体" w:hAnsi="宋体"/>
                <w:b/>
                <w:sz w:val="24"/>
              </w:rPr>
            </w:pPr>
          </w:p>
        </w:tc>
        <w:tc>
          <w:tcPr>
            <w:tcW w:w="1418" w:type="dxa"/>
            <w:vMerge w:val="continue"/>
            <w:vAlign w:val="center"/>
          </w:tcPr>
          <w:p>
            <w:pPr>
              <w:spacing w:before="156" w:beforeLines="50"/>
              <w:rPr>
                <w:rFonts w:ascii="宋体" w:hAnsi="宋体"/>
                <w:b/>
                <w:sz w:val="24"/>
              </w:rPr>
            </w:pPr>
          </w:p>
        </w:tc>
        <w:tc>
          <w:tcPr>
            <w:tcW w:w="6662" w:type="dxa"/>
            <w:vAlign w:val="center"/>
          </w:tcPr>
          <w:p>
            <w:pPr>
              <w:rPr>
                <w:rFonts w:ascii="宋体" w:hAnsi="宋体"/>
                <w:sz w:val="18"/>
                <w:szCs w:val="18"/>
              </w:rPr>
            </w:pPr>
            <w:r>
              <w:rPr>
                <w:rFonts w:hint="eastAsia" w:ascii="宋体" w:hAnsi="宋体"/>
                <w:sz w:val="18"/>
                <w:szCs w:val="18"/>
              </w:rPr>
              <w:t>★输出支路电流电压及可以设置阀值，在超过此阀值时通知管理员采取必要的措施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vAlign w:val="center"/>
          </w:tcPr>
          <w:p>
            <w:pPr>
              <w:spacing w:before="156" w:beforeLines="50"/>
              <w:rPr>
                <w:rFonts w:ascii="宋体" w:hAnsi="宋体"/>
                <w:b/>
                <w:sz w:val="24"/>
              </w:rPr>
            </w:pPr>
          </w:p>
        </w:tc>
        <w:tc>
          <w:tcPr>
            <w:tcW w:w="1418" w:type="dxa"/>
            <w:vMerge w:val="continue"/>
            <w:vAlign w:val="center"/>
          </w:tcPr>
          <w:p>
            <w:pPr>
              <w:spacing w:before="156" w:beforeLines="50"/>
              <w:rPr>
                <w:rFonts w:ascii="宋体" w:hAnsi="宋体"/>
                <w:b/>
                <w:sz w:val="24"/>
              </w:rPr>
            </w:pPr>
          </w:p>
        </w:tc>
        <w:tc>
          <w:tcPr>
            <w:tcW w:w="6662" w:type="dxa"/>
            <w:vAlign w:val="center"/>
          </w:tcPr>
          <w:p>
            <w:pPr>
              <w:rPr>
                <w:rFonts w:ascii="宋体" w:hAnsi="宋体"/>
                <w:sz w:val="18"/>
                <w:szCs w:val="18"/>
              </w:rPr>
            </w:pPr>
            <w:r>
              <w:rPr>
                <w:rFonts w:hint="eastAsia" w:ascii="宋体" w:hAnsi="宋体"/>
                <w:sz w:val="18"/>
                <w:szCs w:val="18"/>
              </w:rPr>
              <w:t>★监控方式：支持TCP/IP通信协议及WEB浏览方式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restart"/>
            <w:vAlign w:val="center"/>
          </w:tcPr>
          <w:p>
            <w:pPr>
              <w:spacing w:before="156" w:beforeLines="50"/>
              <w:rPr>
                <w:rFonts w:ascii="宋体" w:hAnsi="宋体"/>
                <w:b/>
                <w:sz w:val="24"/>
              </w:rPr>
            </w:pPr>
            <w:r>
              <w:rPr>
                <w:rFonts w:ascii="宋体" w:hAnsi="宋体"/>
                <w:sz w:val="18"/>
                <w:szCs w:val="18"/>
              </w:rPr>
              <w:t>环境</w:t>
            </w:r>
          </w:p>
        </w:tc>
        <w:tc>
          <w:tcPr>
            <w:tcW w:w="8080" w:type="dxa"/>
            <w:gridSpan w:val="2"/>
            <w:vAlign w:val="center"/>
          </w:tcPr>
          <w:p>
            <w:pPr>
              <w:rPr>
                <w:rFonts w:ascii="华文细黑" w:hAnsi="华文细黑" w:eastAsia="华文细黑"/>
                <w:b/>
                <w:sz w:val="24"/>
              </w:rPr>
            </w:pPr>
            <w:r>
              <w:rPr>
                <w:rFonts w:hint="eastAsia" w:ascii="宋体" w:hAnsi="宋体"/>
                <w:sz w:val="18"/>
                <w:szCs w:val="18"/>
              </w:rPr>
              <w:t>存储温度:  -15度</w:t>
            </w:r>
            <w:r>
              <w:rPr>
                <w:rFonts w:hint="eastAsia" w:ascii="MS Mincho" w:hAnsi="MS Mincho" w:eastAsia="MS Mincho" w:cs="MS Mincho"/>
                <w:sz w:val="18"/>
                <w:szCs w:val="18"/>
              </w:rPr>
              <w:t>〜</w:t>
            </w:r>
            <w:r>
              <w:rPr>
                <w:rFonts w:hint="eastAsia" w:ascii="宋体" w:hAnsi="宋体"/>
                <w:sz w:val="18"/>
                <w:szCs w:val="18"/>
              </w:rPr>
              <w:t>40度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vAlign w:val="center"/>
          </w:tcPr>
          <w:p>
            <w:pPr>
              <w:spacing w:before="156" w:beforeLines="50"/>
              <w:rPr>
                <w:rFonts w:ascii="宋体" w:hAnsi="宋体"/>
                <w:b/>
                <w:sz w:val="24"/>
              </w:rPr>
            </w:pPr>
          </w:p>
        </w:tc>
        <w:tc>
          <w:tcPr>
            <w:tcW w:w="8080" w:type="dxa"/>
            <w:gridSpan w:val="2"/>
            <w:vAlign w:val="center"/>
          </w:tcPr>
          <w:p>
            <w:pPr>
              <w:rPr>
                <w:rFonts w:ascii="华文细黑" w:hAnsi="华文细黑" w:eastAsia="华文细黑"/>
                <w:b/>
                <w:sz w:val="24"/>
              </w:rPr>
            </w:pPr>
            <w:r>
              <w:rPr>
                <w:rFonts w:hint="eastAsia" w:ascii="宋体" w:hAnsi="宋体"/>
                <w:sz w:val="18"/>
                <w:szCs w:val="18"/>
              </w:rPr>
              <w:t xml:space="preserve">存储湿度:  0 </w:t>
            </w:r>
            <w:r>
              <w:rPr>
                <w:rFonts w:hint="eastAsia" w:ascii="MS Mincho" w:hAnsi="MS Mincho" w:eastAsia="MS Mincho" w:cs="MS Mincho"/>
                <w:sz w:val="18"/>
                <w:szCs w:val="18"/>
              </w:rPr>
              <w:t>〜</w:t>
            </w:r>
            <w:r>
              <w:rPr>
                <w:rFonts w:hint="eastAsia" w:ascii="宋体" w:hAnsi="宋体"/>
                <w:sz w:val="18"/>
                <w:szCs w:val="18"/>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vAlign w:val="center"/>
          </w:tcPr>
          <w:p>
            <w:pPr>
              <w:spacing w:before="156" w:beforeLines="50"/>
              <w:rPr>
                <w:rFonts w:ascii="宋体" w:hAnsi="宋体"/>
                <w:b/>
                <w:sz w:val="24"/>
              </w:rPr>
            </w:pPr>
          </w:p>
        </w:tc>
        <w:tc>
          <w:tcPr>
            <w:tcW w:w="8080" w:type="dxa"/>
            <w:gridSpan w:val="2"/>
            <w:vAlign w:val="center"/>
          </w:tcPr>
          <w:p>
            <w:pPr>
              <w:rPr>
                <w:rFonts w:ascii="华文细黑" w:hAnsi="华文细黑" w:eastAsia="华文细黑"/>
                <w:b/>
                <w:sz w:val="24"/>
              </w:rPr>
            </w:pPr>
            <w:r>
              <w:rPr>
                <w:rFonts w:hint="eastAsia" w:ascii="宋体" w:hAnsi="宋体"/>
                <w:sz w:val="18"/>
                <w:szCs w:val="18"/>
              </w:rPr>
              <w:t>运行环境:  0度</w:t>
            </w:r>
            <w:r>
              <w:rPr>
                <w:rFonts w:hint="eastAsia" w:ascii="MS Mincho" w:hAnsi="MS Mincho" w:eastAsia="MS Mincho" w:cs="MS Mincho"/>
                <w:sz w:val="18"/>
                <w:szCs w:val="18"/>
              </w:rPr>
              <w:t>〜</w:t>
            </w:r>
            <w:r>
              <w:rPr>
                <w:rFonts w:hint="eastAsia" w:ascii="宋体" w:hAnsi="宋体"/>
                <w:sz w:val="18"/>
                <w:szCs w:val="18"/>
              </w:rPr>
              <w:t>40度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vAlign w:val="center"/>
          </w:tcPr>
          <w:p>
            <w:pPr>
              <w:spacing w:before="156" w:beforeLines="50"/>
              <w:rPr>
                <w:rFonts w:ascii="宋体" w:hAnsi="宋体"/>
                <w:b/>
                <w:sz w:val="24"/>
              </w:rPr>
            </w:pPr>
          </w:p>
        </w:tc>
        <w:tc>
          <w:tcPr>
            <w:tcW w:w="8080" w:type="dxa"/>
            <w:gridSpan w:val="2"/>
            <w:vAlign w:val="center"/>
          </w:tcPr>
          <w:p>
            <w:pPr>
              <w:rPr>
                <w:rFonts w:ascii="华文细黑" w:hAnsi="华文细黑" w:eastAsia="华文细黑"/>
                <w:b/>
                <w:sz w:val="24"/>
              </w:rPr>
            </w:pPr>
            <w:r>
              <w:rPr>
                <w:rFonts w:hint="eastAsia" w:ascii="宋体" w:hAnsi="宋体"/>
                <w:sz w:val="18"/>
                <w:szCs w:val="18"/>
              </w:rPr>
              <w:t>噪音:  &lt;55 dBA  100%负载</w:t>
            </w:r>
          </w:p>
        </w:tc>
      </w:tr>
    </w:tbl>
    <w:p>
      <w:pPr>
        <w:spacing w:before="156" w:beforeLines="50"/>
        <w:rPr>
          <w:rFonts w:ascii="宋体" w:hAnsi="宋体"/>
          <w:b/>
          <w:sz w:val="24"/>
        </w:rPr>
      </w:pPr>
    </w:p>
    <w:p>
      <w:pPr>
        <w:spacing w:before="156" w:beforeLines="50"/>
        <w:ind w:firstLine="241" w:firstLineChars="100"/>
        <w:rPr>
          <w:rFonts w:ascii="宋体" w:hAnsi="宋体"/>
          <w:b/>
          <w:sz w:val="24"/>
        </w:rPr>
      </w:pPr>
      <w:r>
        <w:rPr>
          <w:rFonts w:hint="eastAsia" w:ascii="宋体" w:hAnsi="宋体"/>
          <w:b/>
          <w:sz w:val="24"/>
        </w:rPr>
        <w:t>三</w:t>
      </w:r>
      <w:r>
        <w:rPr>
          <w:rFonts w:ascii="宋体" w:hAnsi="宋体"/>
          <w:b/>
          <w:sz w:val="24"/>
        </w:rPr>
        <w:t>、</w:t>
      </w:r>
      <w:r>
        <w:rPr>
          <w:rFonts w:hint="eastAsia" w:ascii="宋体" w:hAnsi="宋体"/>
          <w:b/>
          <w:sz w:val="24"/>
        </w:rPr>
        <w:t>电池技术要求：</w:t>
      </w:r>
    </w:p>
    <w:p>
      <w:pPr>
        <w:spacing w:before="156" w:beforeLines="50"/>
        <w:rPr>
          <w:rFonts w:ascii="宋体" w:hAnsi="宋体"/>
          <w:sz w:val="24"/>
        </w:rPr>
      </w:pPr>
      <w:r>
        <w:rPr>
          <w:rFonts w:hint="eastAsia" w:ascii="宋体" w:hAnsi="宋体"/>
          <w:sz w:val="24"/>
        </w:rPr>
        <w:t>注：带“★”号的为关键技术指标，不允许负偏离，投标方应完整列出所投产品的技术参数及性能指标。不带“★”号的不是否决投标项</w:t>
      </w:r>
    </w:p>
    <w:p>
      <w:pPr>
        <w:spacing w:before="156" w:beforeLines="50"/>
        <w:rPr>
          <w:rFonts w:ascii="宋体" w:hAnsi="宋体"/>
          <w:b/>
          <w:sz w:val="24"/>
        </w:rPr>
      </w:pPr>
    </w:p>
    <w:p>
      <w:pPr>
        <w:spacing w:before="156" w:beforeLines="50"/>
        <w:rPr>
          <w:rFonts w:ascii="宋体" w:hAnsi="宋体"/>
          <w:b/>
          <w:sz w:val="24"/>
        </w:rPr>
      </w:pPr>
      <w:r>
        <w:rPr>
          <w:rFonts w:hint="eastAsia" w:ascii="宋体" w:hAnsi="宋体"/>
          <w:b/>
          <w:sz w:val="24"/>
        </w:rPr>
        <w:t xml:space="preserve">                         </w:t>
      </w:r>
      <w:r>
        <w:rPr>
          <w:rFonts w:hint="eastAsia" w:ascii="宋体" w:hAnsi="宋体"/>
          <w:sz w:val="24"/>
        </w:rPr>
        <w:t>蓄电池技术参数</w:t>
      </w:r>
    </w:p>
    <w:tbl>
      <w:tblPr>
        <w:tblStyle w:val="12"/>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5"/>
        <w:gridCol w:w="8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tcPr>
          <w:p>
            <w:pPr>
              <w:spacing w:before="156" w:beforeLines="50"/>
              <w:ind w:firstLine="180" w:firstLineChars="100"/>
              <w:rPr>
                <w:rFonts w:ascii="宋体" w:hAnsi="宋体"/>
                <w:sz w:val="18"/>
                <w:szCs w:val="18"/>
              </w:rPr>
            </w:pPr>
            <w:r>
              <w:rPr>
                <w:rFonts w:hint="eastAsia" w:ascii="宋体" w:hAnsi="宋体"/>
                <w:sz w:val="18"/>
                <w:szCs w:val="18"/>
              </w:rPr>
              <w:t>项 目</w:t>
            </w:r>
          </w:p>
        </w:tc>
        <w:tc>
          <w:tcPr>
            <w:tcW w:w="8363" w:type="dxa"/>
          </w:tcPr>
          <w:p>
            <w:pPr>
              <w:spacing w:before="156" w:beforeLines="50"/>
              <w:ind w:firstLine="2880" w:firstLineChars="1600"/>
              <w:rPr>
                <w:rFonts w:ascii="宋体" w:hAnsi="宋体"/>
                <w:sz w:val="18"/>
                <w:szCs w:val="18"/>
              </w:rPr>
            </w:pPr>
            <w:r>
              <w:rPr>
                <w:rFonts w:hint="eastAsia" w:ascii="宋体" w:hAnsi="宋体"/>
                <w:sz w:val="18"/>
                <w:szCs w:val="18"/>
              </w:rPr>
              <w:t>技术要求（投标产品）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Merge w:val="restart"/>
            <w:vAlign w:val="center"/>
          </w:tcPr>
          <w:p>
            <w:pPr>
              <w:spacing w:before="156" w:beforeLines="50"/>
              <w:ind w:firstLine="180" w:firstLineChars="100"/>
              <w:rPr>
                <w:rFonts w:ascii="宋体" w:hAnsi="宋体"/>
                <w:sz w:val="18"/>
                <w:szCs w:val="18"/>
              </w:rPr>
            </w:pPr>
            <w:r>
              <w:rPr>
                <w:rFonts w:hint="eastAsia" w:ascii="宋体" w:hAnsi="宋体"/>
                <w:sz w:val="18"/>
                <w:szCs w:val="18"/>
              </w:rPr>
              <w:t>电 池</w:t>
            </w:r>
          </w:p>
        </w:tc>
        <w:tc>
          <w:tcPr>
            <w:tcW w:w="8363" w:type="dxa"/>
            <w:vAlign w:val="center"/>
          </w:tcPr>
          <w:p>
            <w:pPr>
              <w:rPr>
                <w:rFonts w:ascii="宋体" w:hAnsi="宋体"/>
                <w:sz w:val="18"/>
                <w:szCs w:val="18"/>
              </w:rPr>
            </w:pPr>
            <w:r>
              <w:rPr>
                <w:rFonts w:hint="eastAsia" w:ascii="宋体" w:hAnsi="宋体"/>
                <w:sz w:val="18"/>
                <w:szCs w:val="18"/>
              </w:rPr>
              <w:t>★电池与UPS同一品牌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Merge w:val="continue"/>
          </w:tcPr>
          <w:p>
            <w:pPr>
              <w:spacing w:before="156" w:beforeLines="50"/>
              <w:rPr>
                <w:rFonts w:ascii="宋体" w:hAnsi="宋体"/>
                <w:sz w:val="18"/>
                <w:szCs w:val="18"/>
              </w:rPr>
            </w:pPr>
          </w:p>
        </w:tc>
        <w:tc>
          <w:tcPr>
            <w:tcW w:w="8363" w:type="dxa"/>
            <w:vAlign w:val="center"/>
          </w:tcPr>
          <w:p>
            <w:pPr>
              <w:rPr>
                <w:rFonts w:ascii="宋体" w:hAnsi="宋体"/>
                <w:sz w:val="18"/>
                <w:szCs w:val="18"/>
              </w:rPr>
            </w:pPr>
            <w:r>
              <w:rPr>
                <w:rFonts w:hint="eastAsia" w:ascii="宋体" w:hAnsi="宋体"/>
                <w:sz w:val="18"/>
                <w:szCs w:val="18"/>
              </w:rPr>
              <w:t>★原有电池型号/组数/容量/数量（Batt12160MGE/4组/每组48节/共计192节。且电池配置组数、容量、数量与原有电池组数、容量、数量一致，电池型号与原有电池品牌型号一致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Merge w:val="continue"/>
          </w:tcPr>
          <w:p>
            <w:pPr>
              <w:spacing w:before="156" w:beforeLines="50"/>
              <w:rPr>
                <w:rFonts w:ascii="宋体" w:hAnsi="宋体"/>
                <w:sz w:val="18"/>
                <w:szCs w:val="18"/>
              </w:rPr>
            </w:pPr>
          </w:p>
        </w:tc>
        <w:tc>
          <w:tcPr>
            <w:tcW w:w="8363" w:type="dxa"/>
            <w:vAlign w:val="center"/>
          </w:tcPr>
          <w:p>
            <w:pPr>
              <w:rPr>
                <w:rFonts w:ascii="宋体" w:hAnsi="宋体"/>
                <w:sz w:val="18"/>
                <w:szCs w:val="18"/>
              </w:rPr>
            </w:pPr>
            <w:r>
              <w:rPr>
                <w:rFonts w:hint="eastAsia" w:ascii="宋体" w:hAnsi="宋体"/>
                <w:sz w:val="18"/>
                <w:szCs w:val="18"/>
              </w:rPr>
              <w:t>★</w:t>
            </w:r>
            <w:r>
              <w:rPr>
                <w:rFonts w:ascii="宋体" w:hAnsi="宋体"/>
                <w:sz w:val="18"/>
                <w:szCs w:val="18"/>
              </w:rPr>
              <w:t>电池</w:t>
            </w:r>
            <w:r>
              <w:rPr>
                <w:rFonts w:hint="eastAsia" w:ascii="宋体" w:hAnsi="宋体"/>
                <w:sz w:val="18"/>
                <w:szCs w:val="18"/>
              </w:rPr>
              <w:t>的</w:t>
            </w:r>
            <w:r>
              <w:rPr>
                <w:rFonts w:ascii="宋体" w:hAnsi="宋体"/>
                <w:sz w:val="18"/>
                <w:szCs w:val="18"/>
              </w:rPr>
              <w:t>设计寿命不小于10年，</w:t>
            </w:r>
            <w:r>
              <w:rPr>
                <w:rFonts w:hint="eastAsia" w:ascii="宋体" w:hAnsi="宋体"/>
                <w:sz w:val="18"/>
                <w:szCs w:val="18"/>
              </w:rPr>
              <w:t>由</w:t>
            </w:r>
            <w:r>
              <w:rPr>
                <w:rFonts w:ascii="宋体" w:hAnsi="宋体"/>
                <w:sz w:val="18"/>
                <w:szCs w:val="18"/>
              </w:rPr>
              <w:t>厂家提供3年保修</w:t>
            </w:r>
            <w:r>
              <w:rPr>
                <w:rFonts w:hint="eastAsia" w:ascii="宋体" w:hAnsi="宋体"/>
                <w:sz w:val="18"/>
                <w:szCs w:val="18"/>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Merge w:val="continue"/>
          </w:tcPr>
          <w:p>
            <w:pPr>
              <w:spacing w:before="156" w:beforeLines="50"/>
              <w:rPr>
                <w:rFonts w:ascii="宋体" w:hAnsi="宋体"/>
                <w:sz w:val="18"/>
                <w:szCs w:val="18"/>
              </w:rPr>
            </w:pPr>
          </w:p>
        </w:tc>
        <w:tc>
          <w:tcPr>
            <w:tcW w:w="8363" w:type="dxa"/>
            <w:vAlign w:val="center"/>
          </w:tcPr>
          <w:p>
            <w:pPr>
              <w:rPr>
                <w:rFonts w:ascii="宋体" w:hAnsi="宋体"/>
                <w:sz w:val="18"/>
                <w:szCs w:val="18"/>
              </w:rPr>
            </w:pPr>
            <w:r>
              <w:rPr>
                <w:rFonts w:hint="eastAsia" w:ascii="宋体" w:hAnsi="宋体"/>
                <w:sz w:val="18"/>
                <w:szCs w:val="18"/>
              </w:rPr>
              <w:t>★蓄电池为阀控式免维护铅酸蓄电池，容量12V/</w:t>
            </w:r>
            <w:r>
              <w:rPr>
                <w:rFonts w:ascii="宋体" w:hAnsi="宋体"/>
                <w:sz w:val="18"/>
                <w:szCs w:val="18"/>
              </w:rPr>
              <w:t>16</w:t>
            </w:r>
            <w:r>
              <w:rPr>
                <w:rFonts w:hint="eastAsia" w:ascii="宋体" w:hAnsi="宋体"/>
                <w:sz w:val="18"/>
                <w:szCs w:val="18"/>
              </w:rPr>
              <w:t>0Ah ，额定电压12V，单体重量：≥</w:t>
            </w:r>
            <w:r>
              <w:rPr>
                <w:rFonts w:ascii="宋体" w:hAnsi="宋体"/>
                <w:sz w:val="18"/>
                <w:szCs w:val="18"/>
              </w:rPr>
              <w:t>5</w:t>
            </w:r>
            <w:r>
              <w:rPr>
                <w:rFonts w:hint="eastAsia" w:ascii="宋体" w:hAnsi="宋体"/>
                <w:sz w:val="18"/>
                <w:szCs w:val="18"/>
              </w:rPr>
              <w:t>0Kg ，使用寿命≥10年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Merge w:val="continue"/>
          </w:tcPr>
          <w:p>
            <w:pPr>
              <w:spacing w:before="156" w:beforeLines="50"/>
              <w:rPr>
                <w:rFonts w:ascii="宋体" w:hAnsi="宋体"/>
                <w:sz w:val="18"/>
                <w:szCs w:val="18"/>
              </w:rPr>
            </w:pPr>
          </w:p>
        </w:tc>
        <w:tc>
          <w:tcPr>
            <w:tcW w:w="8363" w:type="dxa"/>
            <w:vAlign w:val="center"/>
          </w:tcPr>
          <w:p>
            <w:pPr>
              <w:rPr>
                <w:rFonts w:ascii="宋体" w:hAnsi="宋体"/>
                <w:sz w:val="18"/>
                <w:szCs w:val="18"/>
              </w:rPr>
            </w:pPr>
            <w:r>
              <w:rPr>
                <w:rFonts w:hint="eastAsia" w:ascii="宋体" w:hAnsi="宋体"/>
                <w:sz w:val="18"/>
                <w:szCs w:val="18"/>
              </w:rPr>
              <w:t>★内阻值≤</w:t>
            </w:r>
            <w:r>
              <w:rPr>
                <w:rFonts w:ascii="宋体" w:hAnsi="宋体"/>
                <w:sz w:val="18"/>
                <w:szCs w:val="18"/>
              </w:rPr>
              <w:t>3.3</w:t>
            </w:r>
            <w:r>
              <w:rPr>
                <w:rFonts w:hint="eastAsia" w:ascii="宋体" w:hAnsi="宋体"/>
                <w:sz w:val="18"/>
                <w:szCs w:val="18"/>
              </w:rPr>
              <w:t>mΩ，同组蓄电池内阻偏差应不超过10%。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Merge w:val="continue"/>
          </w:tcPr>
          <w:p>
            <w:pPr>
              <w:spacing w:before="156" w:beforeLines="50"/>
              <w:rPr>
                <w:rFonts w:ascii="宋体" w:hAnsi="宋体"/>
                <w:sz w:val="18"/>
                <w:szCs w:val="18"/>
              </w:rPr>
            </w:pPr>
          </w:p>
        </w:tc>
        <w:tc>
          <w:tcPr>
            <w:tcW w:w="8363" w:type="dxa"/>
            <w:vAlign w:val="center"/>
          </w:tcPr>
          <w:p>
            <w:pPr>
              <w:rPr>
                <w:rFonts w:ascii="宋体" w:hAnsi="宋体"/>
                <w:sz w:val="18"/>
                <w:szCs w:val="18"/>
              </w:rPr>
            </w:pPr>
            <w:r>
              <w:rPr>
                <w:rFonts w:hint="eastAsia" w:ascii="宋体" w:hAnsi="宋体"/>
                <w:sz w:val="18"/>
                <w:szCs w:val="18"/>
              </w:rPr>
              <w:t>★蓄电池运行方式为浮充电。充电电流小于等于0.1C10 , 电池初始充电电流应限制在0.3C10，最大充电电流（恒流）小于等于0.3C10。充电电压在25℃下，浮充2.27～2.30V/单体循环使用2.35V/单体，最大不超过2.40V ，电解液不分层，无需均充。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Merge w:val="continue"/>
          </w:tcPr>
          <w:p>
            <w:pPr>
              <w:spacing w:before="156" w:beforeLines="50"/>
              <w:rPr>
                <w:rFonts w:ascii="宋体" w:hAnsi="宋体"/>
                <w:sz w:val="18"/>
                <w:szCs w:val="18"/>
              </w:rPr>
            </w:pPr>
          </w:p>
        </w:tc>
        <w:tc>
          <w:tcPr>
            <w:tcW w:w="8363" w:type="dxa"/>
            <w:vAlign w:val="center"/>
          </w:tcPr>
          <w:p>
            <w:pPr>
              <w:rPr>
                <w:rFonts w:ascii="宋体" w:hAnsi="宋体"/>
                <w:sz w:val="18"/>
                <w:szCs w:val="18"/>
              </w:rPr>
            </w:pPr>
            <w:r>
              <w:rPr>
                <w:rFonts w:hint="eastAsia" w:ascii="宋体" w:hAnsi="宋体"/>
                <w:sz w:val="18"/>
                <w:szCs w:val="18"/>
              </w:rPr>
              <w:t>★各单体电池开路电压最高与最低差值应不大于100mV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Merge w:val="continue"/>
          </w:tcPr>
          <w:p>
            <w:pPr>
              <w:spacing w:before="156" w:beforeLines="50"/>
              <w:rPr>
                <w:rFonts w:ascii="宋体" w:hAnsi="宋体"/>
                <w:sz w:val="18"/>
                <w:szCs w:val="18"/>
              </w:rPr>
            </w:pPr>
          </w:p>
        </w:tc>
        <w:tc>
          <w:tcPr>
            <w:tcW w:w="8363" w:type="dxa"/>
            <w:vAlign w:val="center"/>
          </w:tcPr>
          <w:p>
            <w:pPr>
              <w:rPr>
                <w:rFonts w:ascii="宋体" w:hAnsi="宋体"/>
                <w:sz w:val="18"/>
                <w:szCs w:val="18"/>
              </w:rPr>
            </w:pPr>
            <w:r>
              <w:rPr>
                <w:rFonts w:hint="eastAsia" w:ascii="宋体" w:hAnsi="宋体"/>
                <w:sz w:val="18"/>
                <w:szCs w:val="18"/>
              </w:rPr>
              <w:t>★外观：蓄电池应有正负极、商标、型号、规格、制造厂名、编号、出厂日期等标志，且标志应清晰、牢固、不易脱落；电池外观整洁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Merge w:val="continue"/>
          </w:tcPr>
          <w:p>
            <w:pPr>
              <w:spacing w:before="156" w:beforeLines="50"/>
              <w:rPr>
                <w:rFonts w:ascii="宋体" w:hAnsi="宋体"/>
                <w:sz w:val="18"/>
                <w:szCs w:val="18"/>
              </w:rPr>
            </w:pPr>
          </w:p>
        </w:tc>
        <w:tc>
          <w:tcPr>
            <w:tcW w:w="8363" w:type="dxa"/>
            <w:vAlign w:val="center"/>
          </w:tcPr>
          <w:p>
            <w:pPr>
              <w:rPr>
                <w:rFonts w:ascii="宋体" w:hAnsi="宋体"/>
                <w:sz w:val="18"/>
                <w:szCs w:val="18"/>
              </w:rPr>
            </w:pPr>
            <w:r>
              <w:rPr>
                <w:rFonts w:hint="eastAsia" w:ascii="宋体" w:hAnsi="宋体"/>
                <w:sz w:val="18"/>
                <w:szCs w:val="18"/>
              </w:rPr>
              <w:t>★蓄电池在环境温度-5℃～+</w:t>
            </w:r>
            <w:r>
              <w:rPr>
                <w:rFonts w:ascii="宋体" w:hAnsi="宋体"/>
                <w:sz w:val="18"/>
                <w:szCs w:val="18"/>
              </w:rPr>
              <w:t>40</w:t>
            </w:r>
            <w:r>
              <w:rPr>
                <w:rFonts w:hint="eastAsia" w:ascii="宋体" w:hAnsi="宋体"/>
                <w:sz w:val="18"/>
                <w:szCs w:val="18"/>
              </w:rPr>
              <w:t>℃条件下能正常使用，要求在使用过程中性能稳定，可靠性高，在保证使用寿命期间不得渗漏电解液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Merge w:val="continue"/>
          </w:tcPr>
          <w:p>
            <w:pPr>
              <w:spacing w:before="156" w:beforeLines="50"/>
              <w:rPr>
                <w:rFonts w:ascii="宋体" w:hAnsi="宋体"/>
                <w:sz w:val="18"/>
                <w:szCs w:val="18"/>
              </w:rPr>
            </w:pPr>
          </w:p>
        </w:tc>
        <w:tc>
          <w:tcPr>
            <w:tcW w:w="8363" w:type="dxa"/>
            <w:vAlign w:val="center"/>
          </w:tcPr>
          <w:p>
            <w:pPr>
              <w:rPr>
                <w:rFonts w:ascii="宋体" w:hAnsi="宋体"/>
                <w:sz w:val="18"/>
                <w:szCs w:val="18"/>
              </w:rPr>
            </w:pPr>
            <w:r>
              <w:rPr>
                <w:rFonts w:hint="eastAsia" w:ascii="宋体" w:hAnsi="宋体"/>
                <w:sz w:val="18"/>
                <w:szCs w:val="18"/>
              </w:rPr>
              <w:t>★蓄电池、盖、安全阀、极柱封口剂等为阻燃材料，其阻燃标准应符合ABS要求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Merge w:val="continue"/>
          </w:tcPr>
          <w:p>
            <w:pPr>
              <w:spacing w:before="156" w:beforeLines="50"/>
              <w:rPr>
                <w:rFonts w:ascii="宋体" w:hAnsi="宋体"/>
                <w:sz w:val="18"/>
                <w:szCs w:val="18"/>
              </w:rPr>
            </w:pPr>
          </w:p>
        </w:tc>
        <w:tc>
          <w:tcPr>
            <w:tcW w:w="8363" w:type="dxa"/>
            <w:vAlign w:val="center"/>
          </w:tcPr>
          <w:p>
            <w:pPr>
              <w:rPr>
                <w:rFonts w:ascii="宋体" w:hAnsi="宋体"/>
                <w:sz w:val="18"/>
                <w:szCs w:val="18"/>
              </w:rPr>
            </w:pPr>
            <w:r>
              <w:rPr>
                <w:rFonts w:hint="eastAsia" w:ascii="宋体" w:hAnsi="宋体"/>
                <w:sz w:val="18"/>
                <w:szCs w:val="18"/>
              </w:rPr>
              <w:t>★蓄电池的极性应与极性标志一致，正、负极端子应便于用螺栓连接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Merge w:val="continue"/>
          </w:tcPr>
          <w:p>
            <w:pPr>
              <w:spacing w:before="156" w:beforeLines="50"/>
              <w:rPr>
                <w:rFonts w:ascii="宋体" w:hAnsi="宋体"/>
                <w:sz w:val="18"/>
                <w:szCs w:val="18"/>
              </w:rPr>
            </w:pPr>
          </w:p>
        </w:tc>
        <w:tc>
          <w:tcPr>
            <w:tcW w:w="8363" w:type="dxa"/>
            <w:vAlign w:val="center"/>
          </w:tcPr>
          <w:p>
            <w:pPr>
              <w:rPr>
                <w:rFonts w:ascii="宋体" w:hAnsi="宋体"/>
                <w:sz w:val="18"/>
                <w:szCs w:val="18"/>
              </w:rPr>
            </w:pPr>
            <w:r>
              <w:rPr>
                <w:rFonts w:hint="eastAsia" w:ascii="宋体" w:hAnsi="宋体"/>
                <w:sz w:val="18"/>
                <w:szCs w:val="18"/>
              </w:rPr>
              <w:t>★蓄电池终端接头为镶嵌式端子，应选择导电性能优良的材料，并具有防腐蚀措施，蓄电池极柱端子设计应方便运行维护过程中的蓄电池电压、内阻测量以及蓄电池间连接条紧固，并应具有防止在运行过程发生因误碰等原因造成的蓄电池极柱间短路的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Merge w:val="continue"/>
          </w:tcPr>
          <w:p>
            <w:pPr>
              <w:spacing w:before="156" w:beforeLines="50"/>
              <w:rPr>
                <w:rFonts w:ascii="宋体" w:hAnsi="宋体"/>
                <w:sz w:val="18"/>
                <w:szCs w:val="18"/>
              </w:rPr>
            </w:pPr>
          </w:p>
        </w:tc>
        <w:tc>
          <w:tcPr>
            <w:tcW w:w="8363" w:type="dxa"/>
            <w:vAlign w:val="center"/>
          </w:tcPr>
          <w:p>
            <w:pPr>
              <w:rPr>
                <w:rFonts w:ascii="宋体" w:hAnsi="宋体"/>
                <w:sz w:val="18"/>
                <w:szCs w:val="18"/>
              </w:rPr>
            </w:pPr>
            <w:r>
              <w:rPr>
                <w:rFonts w:hint="eastAsia" w:ascii="宋体" w:hAnsi="宋体"/>
                <w:sz w:val="18"/>
                <w:szCs w:val="18"/>
              </w:rPr>
              <w:t>★过充电寿命：蓄电池按YD/T 799-2010《通信用阀控式密封铅酸蓄电池》要求试验后，其外观应无明显变形及渗液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Merge w:val="continue"/>
          </w:tcPr>
          <w:p>
            <w:pPr>
              <w:spacing w:before="156" w:beforeLines="50"/>
              <w:rPr>
                <w:rFonts w:ascii="宋体" w:hAnsi="宋体"/>
                <w:sz w:val="18"/>
                <w:szCs w:val="18"/>
              </w:rPr>
            </w:pPr>
          </w:p>
        </w:tc>
        <w:tc>
          <w:tcPr>
            <w:tcW w:w="8363" w:type="dxa"/>
            <w:vAlign w:val="center"/>
          </w:tcPr>
          <w:p>
            <w:pPr>
              <w:rPr>
                <w:rFonts w:ascii="宋体" w:hAnsi="宋体"/>
                <w:sz w:val="18"/>
                <w:szCs w:val="18"/>
              </w:rPr>
            </w:pPr>
            <w:r>
              <w:rPr>
                <w:rFonts w:hint="eastAsia" w:ascii="宋体" w:hAnsi="宋体"/>
                <w:sz w:val="18"/>
                <w:szCs w:val="18"/>
              </w:rPr>
              <w:t>★蓄电池应具有优良的防酸及排气性能，当压力超过正常值时应可靠排气，压力恢复正常值时应可靠密封，无论在任何情况下应确保排出的气体不含酸雾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135" w:type="dxa"/>
            <w:vMerge w:val="continue"/>
          </w:tcPr>
          <w:p>
            <w:pPr>
              <w:spacing w:before="156" w:beforeLines="50"/>
              <w:rPr>
                <w:rFonts w:ascii="宋体" w:hAnsi="宋体"/>
                <w:sz w:val="18"/>
                <w:szCs w:val="18"/>
              </w:rPr>
            </w:pPr>
          </w:p>
        </w:tc>
        <w:tc>
          <w:tcPr>
            <w:tcW w:w="8363" w:type="dxa"/>
            <w:vAlign w:val="center"/>
          </w:tcPr>
          <w:p>
            <w:pPr>
              <w:rPr>
                <w:rFonts w:ascii="宋体" w:hAnsi="宋体"/>
                <w:sz w:val="18"/>
                <w:szCs w:val="18"/>
              </w:rPr>
            </w:pPr>
            <w:r>
              <w:rPr>
                <w:rFonts w:hint="eastAsia" w:ascii="宋体" w:hAnsi="宋体"/>
                <w:sz w:val="18"/>
                <w:szCs w:val="18"/>
              </w:rPr>
              <w:t>★防爆性能：蓄电池在充电过程中，蓄电池外部遇明火时，不应内部爆炸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1135" w:type="dxa"/>
            <w:vMerge w:val="continue"/>
          </w:tcPr>
          <w:p>
            <w:pPr>
              <w:spacing w:before="156" w:beforeLines="50"/>
              <w:rPr>
                <w:rFonts w:ascii="宋体" w:hAnsi="宋体"/>
                <w:sz w:val="18"/>
                <w:szCs w:val="18"/>
              </w:rPr>
            </w:pPr>
          </w:p>
        </w:tc>
        <w:tc>
          <w:tcPr>
            <w:tcW w:w="8363" w:type="dxa"/>
            <w:vAlign w:val="center"/>
          </w:tcPr>
          <w:p>
            <w:pPr>
              <w:rPr>
                <w:rFonts w:ascii="宋体" w:hAnsi="宋体"/>
                <w:sz w:val="18"/>
                <w:szCs w:val="18"/>
              </w:rPr>
            </w:pPr>
            <w:r>
              <w:rPr>
                <w:rFonts w:hint="eastAsia" w:ascii="宋体" w:hAnsi="宋体"/>
                <w:sz w:val="18"/>
                <w:szCs w:val="18"/>
              </w:rPr>
              <w:t>蓄电池能适应高频率、深度放电要求</w:t>
            </w:r>
          </w:p>
        </w:tc>
      </w:tr>
    </w:tbl>
    <w:p>
      <w:pPr>
        <w:spacing w:before="156" w:beforeLines="50"/>
        <w:rPr>
          <w:rFonts w:ascii="宋体" w:hAnsi="宋体"/>
          <w:b/>
          <w:sz w:val="24"/>
        </w:rPr>
      </w:pPr>
    </w:p>
    <w:p>
      <w:pPr>
        <w:rPr>
          <w:rFonts w:ascii="宋体" w:hAnsi="宋体"/>
          <w:b/>
          <w:sz w:val="24"/>
        </w:rPr>
      </w:pPr>
      <w:bookmarkStart w:id="1" w:name="_Hlk49982033"/>
      <w:bookmarkStart w:id="2" w:name="_Hlk49981780"/>
      <w:bookmarkStart w:id="3" w:name="_Hlk49981905"/>
      <w:r>
        <w:rPr>
          <w:rFonts w:hint="eastAsia" w:ascii="宋体" w:hAnsi="宋体"/>
          <w:b/>
          <w:sz w:val="24"/>
        </w:rPr>
        <w:t>四、系统集成要求</w:t>
      </w:r>
    </w:p>
    <w:p>
      <w:pPr>
        <w:spacing w:before="156" w:beforeLines="50"/>
        <w:rPr>
          <w:rFonts w:ascii="宋体" w:hAnsi="宋体"/>
          <w:sz w:val="24"/>
        </w:rPr>
      </w:pPr>
      <w:r>
        <w:rPr>
          <w:rFonts w:hint="eastAsia" w:ascii="宋体" w:hAnsi="宋体"/>
          <w:sz w:val="24"/>
        </w:rPr>
        <w:t>注：带“★”号的为关键技术指标，不允许负偏离，投标方应完整列出所投产品的技术参数及性能指标。不带“★”号的不是否决投标项</w:t>
      </w:r>
    </w:p>
    <w:p>
      <w:pPr>
        <w:spacing w:before="156" w:beforeLines="50"/>
        <w:rPr>
          <w:rFonts w:ascii="宋体" w:hAnsi="宋体"/>
          <w:sz w:val="24"/>
        </w:rPr>
      </w:pPr>
    </w:p>
    <w:p>
      <w:pPr>
        <w:rPr>
          <w:rFonts w:ascii="宋体" w:hAnsi="宋体"/>
          <w:b/>
          <w:sz w:val="24"/>
        </w:rPr>
      </w:pPr>
      <w:r>
        <w:rPr>
          <w:rFonts w:hint="eastAsia" w:ascii="宋体" w:hAnsi="宋体"/>
          <w:b/>
          <w:sz w:val="24"/>
        </w:rPr>
        <w:t>（一）蓄电池应满足UPS使用要求</w:t>
      </w:r>
    </w:p>
    <w:p>
      <w:pPr>
        <w:ind w:firstLine="240" w:firstLineChars="1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UPS 型号：</w:t>
      </w:r>
      <w:r>
        <w:rPr>
          <w:rFonts w:ascii="宋体" w:hAnsi="宋体"/>
          <w:sz w:val="24"/>
        </w:rPr>
        <w:t>SY300K500</w:t>
      </w:r>
      <w:r>
        <w:rPr>
          <w:rFonts w:hint="eastAsia" w:ascii="宋体" w:hAnsi="宋体"/>
          <w:sz w:val="24"/>
        </w:rPr>
        <w:t xml:space="preserve"> </w:t>
      </w:r>
      <w:r>
        <w:rPr>
          <w:rFonts w:ascii="宋体" w:hAnsi="宋体"/>
          <w:sz w:val="24"/>
        </w:rPr>
        <w:t>30</w:t>
      </w:r>
      <w:r>
        <w:rPr>
          <w:rFonts w:hint="eastAsia" w:ascii="宋体" w:hAnsi="宋体"/>
          <w:sz w:val="24"/>
        </w:rPr>
        <w:t>0KVA；</w:t>
      </w:r>
    </w:p>
    <w:p>
      <w:pPr>
        <w:ind w:firstLine="240" w:firstLineChars="100"/>
        <w:rPr>
          <w:rFonts w:ascii="宋体" w:hAnsi="宋体"/>
          <w:sz w:val="24"/>
        </w:rPr>
      </w:pPr>
      <w:r>
        <w:rPr>
          <w:rFonts w:ascii="宋体" w:hAnsi="宋体"/>
          <w:sz w:val="24"/>
        </w:rPr>
        <w:t xml:space="preserve">2. </w:t>
      </w:r>
      <w:r>
        <w:rPr>
          <w:rFonts w:hint="eastAsia" w:ascii="宋体" w:hAnsi="宋体"/>
          <w:sz w:val="24"/>
        </w:rPr>
        <w:t>UPS 视在功率：Ps=</w:t>
      </w:r>
      <w:r>
        <w:rPr>
          <w:rFonts w:ascii="宋体" w:hAnsi="宋体"/>
          <w:sz w:val="24"/>
        </w:rPr>
        <w:t>300</w:t>
      </w:r>
      <w:r>
        <w:rPr>
          <w:rFonts w:hint="eastAsia" w:ascii="宋体" w:hAnsi="宋体"/>
          <w:sz w:val="24"/>
        </w:rPr>
        <w:t>KVA；</w:t>
      </w:r>
    </w:p>
    <w:p>
      <w:pPr>
        <w:ind w:firstLine="240" w:firstLineChars="1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 xml:space="preserve"> UPS 功率因数：η=0.9；</w:t>
      </w:r>
    </w:p>
    <w:p>
      <w:pPr>
        <w:ind w:firstLine="240" w:firstLineChars="1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 xml:space="preserve"> UPS 逆变效率：δ=0.95；</w:t>
      </w:r>
    </w:p>
    <w:p>
      <w:pPr>
        <w:ind w:firstLine="240" w:firstLineChars="100"/>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 xml:space="preserve"> UPS 直流工作电压：Vd=</w:t>
      </w:r>
      <w:r>
        <w:rPr>
          <w:rFonts w:ascii="宋体" w:hAnsi="宋体"/>
          <w:sz w:val="24"/>
        </w:rPr>
        <w:t>576</w:t>
      </w:r>
      <w:r>
        <w:rPr>
          <w:rFonts w:hint="eastAsia" w:ascii="宋体" w:hAnsi="宋体"/>
          <w:sz w:val="24"/>
        </w:rPr>
        <w:t>V；</w:t>
      </w:r>
    </w:p>
    <w:p>
      <w:pPr>
        <w:ind w:firstLine="240" w:firstLineChars="100"/>
        <w:rPr>
          <w:rFonts w:ascii="宋体" w:hAnsi="宋体"/>
          <w:sz w:val="24"/>
        </w:rPr>
      </w:pPr>
      <w:r>
        <w:rPr>
          <w:rFonts w:hint="eastAsia" w:ascii="宋体" w:hAnsi="宋体"/>
          <w:sz w:val="24"/>
        </w:rPr>
        <w:t>6</w:t>
      </w:r>
      <w:r>
        <w:rPr>
          <w:rFonts w:ascii="宋体" w:hAnsi="宋体"/>
          <w:sz w:val="24"/>
        </w:rPr>
        <w:t xml:space="preserve">. </w:t>
      </w:r>
      <w:r>
        <w:rPr>
          <w:rFonts w:hint="eastAsia" w:ascii="宋体" w:hAnsi="宋体"/>
          <w:sz w:val="24"/>
        </w:rPr>
        <w:t>★后备时间：Tb≥2 小时；</w:t>
      </w:r>
    </w:p>
    <w:p>
      <w:pPr>
        <w:ind w:firstLine="240" w:firstLineChars="100"/>
        <w:rPr>
          <w:rFonts w:ascii="宋体" w:hAnsi="宋体"/>
          <w:sz w:val="24"/>
        </w:rPr>
      </w:pPr>
      <w:r>
        <w:rPr>
          <w:rFonts w:hint="eastAsia" w:ascii="宋体" w:hAnsi="宋体"/>
          <w:sz w:val="24"/>
        </w:rPr>
        <w:t>7</w:t>
      </w:r>
      <w:r>
        <w:rPr>
          <w:rFonts w:ascii="宋体" w:hAnsi="宋体"/>
          <w:sz w:val="24"/>
        </w:rPr>
        <w:t xml:space="preserve">. </w:t>
      </w:r>
      <w:r>
        <w:rPr>
          <w:rFonts w:hint="eastAsia" w:ascii="宋体" w:hAnsi="宋体"/>
          <w:sz w:val="24"/>
        </w:rPr>
        <w:t>系统中UPS 台数：2 台，采用“2n”系统。</w:t>
      </w:r>
    </w:p>
    <w:p>
      <w:pPr>
        <w:ind w:firstLine="240" w:firstLineChars="100"/>
        <w:rPr>
          <w:rFonts w:ascii="宋体" w:hAnsi="宋体"/>
          <w:sz w:val="24"/>
        </w:rPr>
      </w:pPr>
      <w:r>
        <w:rPr>
          <w:rFonts w:hint="eastAsia" w:ascii="宋体" w:hAnsi="宋体"/>
          <w:sz w:val="24"/>
        </w:rPr>
        <w:t>8</w:t>
      </w:r>
      <w:r>
        <w:rPr>
          <w:rFonts w:ascii="宋体" w:hAnsi="宋体"/>
          <w:sz w:val="24"/>
        </w:rPr>
        <w:t xml:space="preserve">. </w:t>
      </w:r>
      <w:r>
        <w:rPr>
          <w:rFonts w:hint="eastAsia" w:ascii="宋体" w:hAnsi="宋体"/>
          <w:sz w:val="24"/>
        </w:rPr>
        <w:t>★蓄电池组的放电截止电压为1.75Vpc。</w:t>
      </w:r>
    </w:p>
    <w:p>
      <w:pPr>
        <w:rPr>
          <w:rFonts w:ascii="宋体" w:hAnsi="宋体"/>
          <w:b/>
          <w:sz w:val="24"/>
        </w:rPr>
      </w:pPr>
      <w:r>
        <w:rPr>
          <w:rFonts w:hint="eastAsia" w:ascii="宋体" w:hAnsi="宋体"/>
          <w:b/>
          <w:sz w:val="24"/>
        </w:rPr>
        <w:t>（二）蓄电池应满足现有电池架安装要求</w:t>
      </w:r>
    </w:p>
    <w:p>
      <w:pPr>
        <w:ind w:firstLine="240" w:firstLineChars="1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★尺寸：分四层。</w:t>
      </w:r>
    </w:p>
    <w:p>
      <w:pPr>
        <w:ind w:firstLine="240" w:firstLineChars="1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★数量：共计</w:t>
      </w:r>
      <w:r>
        <w:rPr>
          <w:rFonts w:ascii="宋体" w:hAnsi="宋体"/>
          <w:sz w:val="24"/>
        </w:rPr>
        <w:t>4</w:t>
      </w:r>
      <w:r>
        <w:rPr>
          <w:rFonts w:hint="eastAsia" w:ascii="宋体" w:hAnsi="宋体"/>
          <w:sz w:val="24"/>
        </w:rPr>
        <w:t>个电池架。</w:t>
      </w:r>
    </w:p>
    <w:p>
      <w:pPr>
        <w:rPr>
          <w:rFonts w:ascii="宋体" w:hAnsi="宋体"/>
          <w:b/>
          <w:sz w:val="24"/>
        </w:rPr>
      </w:pPr>
      <w:r>
        <w:rPr>
          <w:rFonts w:ascii="宋体" w:hAnsi="宋体"/>
          <w:b/>
          <w:sz w:val="24"/>
        </w:rPr>
        <w:t>（三）</w:t>
      </w:r>
      <w:r>
        <w:rPr>
          <w:rFonts w:hint="eastAsia" w:ascii="宋体" w:hAnsi="宋体"/>
          <w:b/>
          <w:sz w:val="24"/>
        </w:rPr>
        <w:t>工作范围及安装内容</w:t>
      </w:r>
    </w:p>
    <w:p>
      <w:pPr>
        <w:ind w:firstLine="240" w:firstLineChars="1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承担旧蓄电池组拆卸、下架，新购蓄电池上架、安装、测试等工作（电池更换安装所需配套器件均由实施方提供），施工过程严格按油田HSE管理规定及用户现场管理要求进行操作，并按用户要求将原蓄电池拆卸运送到指定存放地。</w:t>
      </w:r>
    </w:p>
    <w:p>
      <w:pPr>
        <w:ind w:firstLine="240" w:firstLineChars="100"/>
        <w:rPr>
          <w:rFonts w:ascii="宋体" w:hAnsi="宋体"/>
          <w:sz w:val="24"/>
        </w:rPr>
      </w:pPr>
      <w:r>
        <w:rPr>
          <w:rFonts w:ascii="宋体" w:hAnsi="宋体"/>
          <w:sz w:val="24"/>
        </w:rPr>
        <w:t xml:space="preserve">2. </w:t>
      </w:r>
      <w:r>
        <w:rPr>
          <w:rFonts w:hint="eastAsia" w:ascii="宋体" w:hAnsi="宋体"/>
          <w:sz w:val="24"/>
        </w:rPr>
        <w:t>★蓄电池极柱端子接线紧固必须使用力矩扳手，扭矩必须符合厂方的要求。</w:t>
      </w:r>
    </w:p>
    <w:p>
      <w:pPr>
        <w:ind w:firstLine="240" w:firstLineChars="100"/>
        <w:rPr>
          <w:rFonts w:ascii="宋体" w:hAnsi="宋体"/>
          <w:sz w:val="24"/>
        </w:rPr>
      </w:pPr>
      <w:r>
        <w:rPr>
          <w:rFonts w:ascii="宋体" w:hAnsi="宋体"/>
          <w:sz w:val="24"/>
        </w:rPr>
        <w:t xml:space="preserve">3. </w:t>
      </w:r>
      <w:r>
        <w:rPr>
          <w:rFonts w:hint="eastAsia" w:ascii="宋体" w:hAnsi="宋体"/>
          <w:sz w:val="24"/>
        </w:rPr>
        <w:t>★蓄电池间应采用连接条或电缆连接，连接电缆要求用阻燃电缆，连接导线应力求缩短，蓄电池布置应合理、紧凑。</w:t>
      </w:r>
    </w:p>
    <w:p>
      <w:pPr>
        <w:ind w:firstLine="240" w:firstLineChars="100"/>
        <w:rPr>
          <w:rFonts w:ascii="宋体" w:hAnsi="宋体"/>
          <w:sz w:val="24"/>
        </w:rPr>
      </w:pPr>
      <w:r>
        <w:rPr>
          <w:rFonts w:ascii="宋体" w:hAnsi="宋体"/>
          <w:sz w:val="24"/>
        </w:rPr>
        <w:t xml:space="preserve">4. </w:t>
      </w:r>
      <w:r>
        <w:rPr>
          <w:rFonts w:hint="eastAsia" w:ascii="宋体" w:hAnsi="宋体"/>
          <w:sz w:val="24"/>
        </w:rPr>
        <w:t>★电池接线端子不应裸露，应有绝缘安全措施，同时应方便日常电池的检测。</w:t>
      </w:r>
    </w:p>
    <w:p>
      <w:pPr>
        <w:ind w:firstLine="240" w:firstLineChars="100"/>
        <w:rPr>
          <w:rFonts w:ascii="宋体" w:hAnsi="宋体"/>
          <w:sz w:val="24"/>
        </w:rPr>
      </w:pPr>
      <w:r>
        <w:rPr>
          <w:rFonts w:ascii="宋体" w:hAnsi="宋体"/>
          <w:sz w:val="24"/>
        </w:rPr>
        <w:t xml:space="preserve">5. </w:t>
      </w:r>
      <w:r>
        <w:rPr>
          <w:rFonts w:hint="eastAsia" w:ascii="宋体" w:hAnsi="宋体"/>
          <w:sz w:val="24"/>
        </w:rPr>
        <w:t>★中标单位负责将设备运送到塔西南公司信息通讯部数据中心机房，并进行安装调试，待全部工作完成、系统稳定运行后，进行用户验收。</w:t>
      </w:r>
    </w:p>
    <w:p>
      <w:pPr>
        <w:rPr>
          <w:rFonts w:ascii="宋体" w:hAnsi="宋体"/>
          <w:b/>
          <w:sz w:val="24"/>
        </w:rPr>
      </w:pPr>
      <w:r>
        <w:rPr>
          <w:rFonts w:ascii="宋体" w:hAnsi="宋体"/>
          <w:b/>
          <w:sz w:val="24"/>
        </w:rPr>
        <w:t>（四）</w:t>
      </w:r>
      <w:r>
        <w:rPr>
          <w:rFonts w:hint="eastAsia" w:ascii="宋体" w:hAnsi="宋体"/>
          <w:b/>
          <w:sz w:val="24"/>
        </w:rPr>
        <w:t>质量保证</w:t>
      </w:r>
    </w:p>
    <w:p>
      <w:pPr>
        <w:ind w:firstLine="240" w:firstLineChars="100"/>
        <w:rPr>
          <w:rFonts w:ascii="宋体" w:hAnsi="宋体"/>
          <w:sz w:val="24"/>
        </w:rPr>
      </w:pPr>
      <w:r>
        <w:rPr>
          <w:rFonts w:hint="eastAsia" w:ascii="宋体" w:hAnsi="宋体"/>
          <w:sz w:val="24"/>
        </w:rPr>
        <w:t>1.★投标单位要具备设备制造厂商对采购产品的授权，在产品到货验收时提供由制造厂商出具的售后服务承诺函，从而保证提供正常销售渠道的产品，确保产品享受原厂提供的质量保证和售后服务。</w:t>
      </w:r>
    </w:p>
    <w:p>
      <w:pPr>
        <w:ind w:firstLine="240" w:firstLineChars="100"/>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★产品保修期为自设备调试合格投入使用之日起三年原厂保修，保修期内一切非人为及不可抗拒因素造成的故障，均由投标方负责排除，问题蓄电池由投标方负责更换，期间产生的一切费用由投标方承担。</w:t>
      </w:r>
    </w:p>
    <w:p>
      <w:pPr>
        <w:spacing w:line="400" w:lineRule="exact"/>
        <w:rPr>
          <w:rFonts w:ascii="宋体" w:hAnsi="宋体"/>
          <w:b/>
          <w:sz w:val="24"/>
        </w:rPr>
      </w:pPr>
    </w:p>
    <w:p>
      <w:pPr>
        <w:spacing w:line="400" w:lineRule="exact"/>
        <w:rPr>
          <w:rFonts w:ascii="宋体" w:hAnsi="宋体"/>
          <w:b/>
          <w:sz w:val="24"/>
        </w:rPr>
      </w:pPr>
      <w:r>
        <w:rPr>
          <w:rFonts w:ascii="宋体" w:hAnsi="宋体"/>
          <w:b/>
          <w:sz w:val="24"/>
        </w:rPr>
        <w:t>五、</w:t>
      </w:r>
      <w:r>
        <w:rPr>
          <w:rFonts w:hint="eastAsia" w:ascii="宋体" w:hAnsi="宋体"/>
          <w:b/>
          <w:sz w:val="24"/>
        </w:rPr>
        <w:t>配电柜改造要求</w:t>
      </w:r>
    </w:p>
    <w:p>
      <w:pPr>
        <w:spacing w:before="156" w:beforeLines="50"/>
        <w:rPr>
          <w:rFonts w:ascii="宋体" w:hAnsi="宋体"/>
          <w:sz w:val="24"/>
        </w:rPr>
      </w:pPr>
      <w:r>
        <w:rPr>
          <w:rFonts w:hint="eastAsia" w:ascii="宋体" w:hAnsi="宋体"/>
          <w:sz w:val="24"/>
        </w:rPr>
        <w:t>注：带“★”号的为关键技术指标，不允许负偏离，投标方应完整列出所投产品的技术参数及性能指标。不带“★”号的不是否决投标项</w:t>
      </w:r>
    </w:p>
    <w:p>
      <w:pPr>
        <w:spacing w:line="400" w:lineRule="exact"/>
        <w:rPr>
          <w:rFonts w:ascii="宋体" w:hAnsi="宋体"/>
          <w:sz w:val="24"/>
        </w:rPr>
      </w:pPr>
      <w:r>
        <w:rPr>
          <w:rFonts w:hint="eastAsia" w:ascii="宋体" w:hAnsi="宋体"/>
          <w:sz w:val="24"/>
        </w:rPr>
        <w:t>1. ★拆除原有转接柜，将原有高频开关电源移走，并再原位置安装U</w:t>
      </w:r>
      <w:r>
        <w:rPr>
          <w:rFonts w:ascii="宋体" w:hAnsi="宋体"/>
          <w:sz w:val="24"/>
        </w:rPr>
        <w:t>PS</w:t>
      </w:r>
      <w:r>
        <w:rPr>
          <w:rFonts w:hint="eastAsia" w:ascii="宋体" w:hAnsi="宋体"/>
          <w:sz w:val="24"/>
        </w:rPr>
        <w:t>，拆除及移除设备所产生的所有费用均有中标方承担</w:t>
      </w:r>
    </w:p>
    <w:p>
      <w:pPr>
        <w:spacing w:line="400" w:lineRule="exact"/>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★箱变到配电间电缆沟挖开，抽出电缆重新放置新电缆，由箱变直接给配电柜机U</w:t>
      </w:r>
      <w:r>
        <w:rPr>
          <w:rFonts w:ascii="宋体" w:hAnsi="宋体"/>
          <w:sz w:val="24"/>
        </w:rPr>
        <w:t>PS</w:t>
      </w:r>
      <w:r>
        <w:rPr>
          <w:rFonts w:hint="eastAsia" w:ascii="宋体" w:hAnsi="宋体"/>
          <w:sz w:val="24"/>
        </w:rPr>
        <w:t>供电。施工中产生的辅材线缆、施工，挖电缆沟、抽线缆、放线缆等所有费用均有中标方承担</w:t>
      </w:r>
    </w:p>
    <w:p>
      <w:pPr>
        <w:spacing w:line="400" w:lineRule="exact"/>
        <w:rPr>
          <w:rFonts w:ascii="宋体" w:hAnsi="宋体"/>
          <w:sz w:val="24"/>
        </w:rPr>
      </w:pPr>
      <w:r>
        <w:rPr>
          <w:rFonts w:hint="eastAsia" w:ascii="宋体" w:hAnsi="宋体"/>
          <w:sz w:val="24"/>
        </w:rPr>
        <w:t>3</w:t>
      </w:r>
      <w:r>
        <w:rPr>
          <w:rFonts w:ascii="宋体" w:hAnsi="宋体"/>
          <w:sz w:val="24"/>
        </w:rPr>
        <w:t xml:space="preserve">. </w:t>
      </w:r>
      <w:r>
        <w:rPr>
          <w:rFonts w:hint="eastAsia" w:ascii="宋体" w:hAnsi="宋体"/>
          <w:sz w:val="24"/>
        </w:rPr>
        <w:t>★拆除转接柜。</w:t>
      </w:r>
    </w:p>
    <w:p>
      <w:pPr>
        <w:spacing w:line="400" w:lineRule="exact"/>
        <w:rPr>
          <w:rFonts w:ascii="宋体" w:hAnsi="宋体"/>
          <w:sz w:val="24"/>
        </w:rPr>
      </w:pPr>
      <w:r>
        <w:rPr>
          <w:rFonts w:hint="eastAsia" w:ascii="宋体" w:hAnsi="宋体"/>
          <w:sz w:val="24"/>
        </w:rPr>
        <w:t>4</w:t>
      </w:r>
      <w:r>
        <w:rPr>
          <w:rFonts w:ascii="宋体" w:hAnsi="宋体"/>
          <w:sz w:val="24"/>
        </w:rPr>
        <w:t xml:space="preserve">. </w:t>
      </w:r>
      <w:r>
        <w:rPr>
          <w:rFonts w:hint="eastAsia" w:ascii="宋体" w:hAnsi="宋体"/>
          <w:sz w:val="24"/>
        </w:rPr>
        <w:t>★拆除高压开关柜。</w:t>
      </w:r>
    </w:p>
    <w:p>
      <w:pPr>
        <w:spacing w:line="400" w:lineRule="exact"/>
        <w:rPr>
          <w:rFonts w:ascii="宋体" w:hAnsi="宋体"/>
          <w:sz w:val="24"/>
        </w:rPr>
      </w:pPr>
      <w:r>
        <w:rPr>
          <w:rFonts w:hint="eastAsia" w:ascii="宋体" w:hAnsi="宋体"/>
          <w:sz w:val="24"/>
        </w:rPr>
        <w:t>5</w:t>
      </w:r>
      <w:r>
        <w:rPr>
          <w:rFonts w:ascii="宋体" w:hAnsi="宋体"/>
          <w:sz w:val="24"/>
        </w:rPr>
        <w:t xml:space="preserve">. </w:t>
      </w:r>
      <w:r>
        <w:rPr>
          <w:rFonts w:hint="eastAsia" w:ascii="宋体" w:hAnsi="宋体"/>
          <w:sz w:val="24"/>
        </w:rPr>
        <w:t>★拆除废旧电池并更换电池。</w:t>
      </w:r>
    </w:p>
    <w:p>
      <w:pPr>
        <w:spacing w:line="400" w:lineRule="exact"/>
        <w:rPr>
          <w:rFonts w:ascii="宋体" w:hAnsi="宋体"/>
          <w:sz w:val="24"/>
        </w:rPr>
      </w:pPr>
      <w:r>
        <w:rPr>
          <w:rFonts w:hint="eastAsia" w:ascii="宋体" w:hAnsi="宋体"/>
          <w:sz w:val="24"/>
        </w:rPr>
        <w:t>6</w:t>
      </w:r>
      <w:r>
        <w:rPr>
          <w:rFonts w:ascii="宋体" w:hAnsi="宋体"/>
          <w:sz w:val="24"/>
        </w:rPr>
        <w:t xml:space="preserve">. </w:t>
      </w:r>
      <w:r>
        <w:rPr>
          <w:rFonts w:hint="eastAsia" w:ascii="宋体" w:hAnsi="宋体"/>
          <w:sz w:val="24"/>
        </w:rPr>
        <w:t>★拆除原有电缆、重新铺设新电缆。</w:t>
      </w:r>
    </w:p>
    <w:p>
      <w:pPr>
        <w:spacing w:line="400" w:lineRule="exact"/>
        <w:rPr>
          <w:rFonts w:ascii="宋体" w:hAnsi="宋体"/>
          <w:sz w:val="24"/>
        </w:rPr>
      </w:pPr>
      <w:r>
        <w:rPr>
          <w:rFonts w:hint="eastAsia" w:ascii="宋体" w:hAnsi="宋体"/>
          <w:sz w:val="24"/>
        </w:rPr>
        <w:t>7</w:t>
      </w:r>
      <w:r>
        <w:rPr>
          <w:rFonts w:ascii="宋体" w:hAnsi="宋体"/>
          <w:sz w:val="24"/>
        </w:rPr>
        <w:t xml:space="preserve">. </w:t>
      </w:r>
      <w:r>
        <w:rPr>
          <w:rFonts w:hint="eastAsia" w:ascii="宋体" w:hAnsi="宋体"/>
          <w:sz w:val="24"/>
        </w:rPr>
        <w:t>★挖线缆沟槽。</w:t>
      </w:r>
    </w:p>
    <w:p>
      <w:pPr>
        <w:spacing w:line="400" w:lineRule="exact"/>
        <w:rPr>
          <w:rFonts w:ascii="宋体" w:hAnsi="宋体"/>
          <w:sz w:val="24"/>
        </w:rPr>
      </w:pPr>
      <w:r>
        <w:rPr>
          <w:rFonts w:hint="eastAsia" w:ascii="宋体" w:hAnsi="宋体"/>
          <w:sz w:val="24"/>
        </w:rPr>
        <w:t>8</w:t>
      </w:r>
      <w:r>
        <w:rPr>
          <w:rFonts w:ascii="宋体" w:hAnsi="宋体"/>
          <w:sz w:val="24"/>
        </w:rPr>
        <w:t xml:space="preserve">. </w:t>
      </w:r>
      <w:r>
        <w:rPr>
          <w:rFonts w:hint="eastAsia" w:ascii="宋体" w:hAnsi="宋体"/>
          <w:sz w:val="24"/>
        </w:rPr>
        <w:t>★沟槽地基处理。</w:t>
      </w:r>
    </w:p>
    <w:p>
      <w:pPr>
        <w:spacing w:line="400" w:lineRule="exact"/>
        <w:rPr>
          <w:rFonts w:ascii="宋体" w:hAnsi="宋体"/>
          <w:sz w:val="24"/>
        </w:rPr>
      </w:pPr>
      <w:r>
        <w:rPr>
          <w:rFonts w:hint="eastAsia" w:ascii="宋体" w:hAnsi="宋体"/>
          <w:sz w:val="24"/>
        </w:rPr>
        <w:t>9</w:t>
      </w:r>
      <w:r>
        <w:rPr>
          <w:rFonts w:ascii="宋体" w:hAnsi="宋体"/>
          <w:sz w:val="24"/>
        </w:rPr>
        <w:t xml:space="preserve">. </w:t>
      </w:r>
      <w:r>
        <w:rPr>
          <w:rFonts w:hint="eastAsia" w:ascii="宋体" w:hAnsi="宋体"/>
          <w:sz w:val="24"/>
        </w:rPr>
        <w:t>★沟槽硬化处理。</w:t>
      </w:r>
    </w:p>
    <w:p>
      <w:pPr>
        <w:spacing w:line="400" w:lineRule="exact"/>
        <w:rPr>
          <w:rFonts w:ascii="宋体" w:hAnsi="宋体"/>
          <w:sz w:val="24"/>
        </w:rPr>
      </w:pPr>
      <w:r>
        <w:rPr>
          <w:rFonts w:hint="eastAsia" w:ascii="宋体" w:hAnsi="宋体"/>
          <w:sz w:val="24"/>
        </w:rPr>
        <w:t>10</w:t>
      </w:r>
      <w:r>
        <w:rPr>
          <w:rFonts w:ascii="宋体" w:hAnsi="宋体"/>
          <w:sz w:val="24"/>
        </w:rPr>
        <w:t xml:space="preserve">. </w:t>
      </w:r>
      <w:r>
        <w:rPr>
          <w:rFonts w:hint="eastAsia" w:ascii="宋体" w:hAnsi="宋体"/>
          <w:sz w:val="24"/>
        </w:rPr>
        <w:t>★电缆地埋保护措施。</w:t>
      </w:r>
    </w:p>
    <w:p>
      <w:pPr>
        <w:spacing w:line="400" w:lineRule="exact"/>
        <w:rPr>
          <w:rFonts w:ascii="宋体" w:hAnsi="宋体"/>
          <w:sz w:val="24"/>
        </w:rPr>
      </w:pPr>
      <w:r>
        <w:rPr>
          <w:rFonts w:hint="eastAsia" w:ascii="宋体" w:hAnsi="宋体"/>
          <w:sz w:val="24"/>
        </w:rPr>
        <w:t>11</w:t>
      </w:r>
      <w:r>
        <w:rPr>
          <w:rFonts w:ascii="宋体" w:hAnsi="宋体"/>
          <w:sz w:val="24"/>
        </w:rPr>
        <w:t xml:space="preserve">. </w:t>
      </w:r>
      <w:r>
        <w:rPr>
          <w:rFonts w:hint="eastAsia" w:ascii="宋体" w:hAnsi="宋体"/>
          <w:sz w:val="24"/>
        </w:rPr>
        <w:t>★改造过程中产生的所有费用均有中标方承担。</w:t>
      </w:r>
    </w:p>
    <w:p>
      <w:pPr>
        <w:spacing w:line="400" w:lineRule="exact"/>
        <w:rPr>
          <w:b/>
        </w:rPr>
      </w:pPr>
    </w:p>
    <w:p>
      <w:pPr>
        <w:spacing w:line="400" w:lineRule="exact"/>
        <w:rPr>
          <w:rFonts w:ascii="宋体" w:hAnsi="宋体"/>
          <w:b/>
          <w:sz w:val="24"/>
        </w:rPr>
      </w:pPr>
      <w:r>
        <w:rPr>
          <w:rFonts w:hint="eastAsia" w:ascii="宋体" w:hAnsi="宋体"/>
          <w:b/>
          <w:sz w:val="24"/>
        </w:rPr>
        <w:t>六、嵌入式直流电源系统</w:t>
      </w:r>
    </w:p>
    <w:p>
      <w:pPr>
        <w:spacing w:before="156" w:beforeLines="50"/>
        <w:rPr>
          <w:rFonts w:ascii="宋体" w:hAnsi="宋体"/>
          <w:sz w:val="24"/>
        </w:rPr>
      </w:pPr>
      <w:r>
        <w:rPr>
          <w:rFonts w:hint="eastAsia" w:ascii="宋体" w:hAnsi="宋体"/>
          <w:sz w:val="24"/>
        </w:rPr>
        <w:t>注：带“★”号的为关键技术指标，不允许负偏离，投标方应完整列出所投产品的技术参数及性能指标。不带“★”号的不是否决投标项</w:t>
      </w:r>
    </w:p>
    <w:p>
      <w:pPr>
        <w:spacing w:line="400" w:lineRule="exact"/>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★实现220V单相/110V双火线交流输入转换为稳定的48V直流 输出</w:t>
      </w:r>
    </w:p>
    <w:p>
      <w:pPr>
        <w:spacing w:line="400" w:lineRule="exact"/>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★可配置48V/15A标效和高效整流模块，最大输出电流 为30A</w:t>
      </w:r>
    </w:p>
    <w:p>
      <w:pPr>
        <w:spacing w:line="400" w:lineRule="exact"/>
        <w:rPr>
          <w:rFonts w:ascii="宋体" w:hAnsi="宋体"/>
          <w:sz w:val="24"/>
        </w:rPr>
      </w:pPr>
      <w:r>
        <w:rPr>
          <w:rFonts w:hint="eastAsia" w:ascii="宋体" w:hAnsi="宋体"/>
          <w:sz w:val="24"/>
        </w:rPr>
        <w:t>3</w:t>
      </w:r>
      <w:r>
        <w:rPr>
          <w:rFonts w:ascii="宋体" w:hAnsi="宋体"/>
          <w:sz w:val="24"/>
        </w:rPr>
        <w:t xml:space="preserve">. </w:t>
      </w:r>
      <w:r>
        <w:rPr>
          <w:rFonts w:hint="eastAsia" w:ascii="宋体" w:hAnsi="宋体"/>
          <w:sz w:val="24"/>
        </w:rPr>
        <w:t>★各功能单元采用标准化尺寸设计，高度1U</w:t>
      </w:r>
    </w:p>
    <w:p>
      <w:pPr>
        <w:spacing w:line="400" w:lineRule="exact"/>
        <w:rPr>
          <w:rFonts w:ascii="宋体" w:hAnsi="宋体"/>
          <w:sz w:val="24"/>
        </w:rPr>
      </w:pPr>
      <w:r>
        <w:rPr>
          <w:rFonts w:hint="eastAsia" w:ascii="宋体" w:hAnsi="宋体"/>
          <w:sz w:val="24"/>
        </w:rPr>
        <w:t>4. ★支持标准19英寸机架或嵌入式机柜等多种安装方式</w:t>
      </w:r>
    </w:p>
    <w:p>
      <w:pPr>
        <w:spacing w:line="400" w:lineRule="exact"/>
        <w:rPr>
          <w:rFonts w:ascii="宋体" w:hAnsi="宋体"/>
          <w:sz w:val="24"/>
        </w:rPr>
      </w:pPr>
      <w:r>
        <w:rPr>
          <w:rFonts w:hint="eastAsia" w:ascii="宋体" w:hAnsi="宋体"/>
          <w:sz w:val="24"/>
        </w:rPr>
        <w:t>5</w:t>
      </w:r>
      <w:r>
        <w:rPr>
          <w:rFonts w:ascii="宋体" w:hAnsi="宋体"/>
          <w:sz w:val="24"/>
        </w:rPr>
        <w:t xml:space="preserve">. </w:t>
      </w:r>
      <w:r>
        <w:rPr>
          <w:rFonts w:hint="eastAsia" w:ascii="宋体" w:hAnsi="宋体"/>
          <w:sz w:val="24"/>
        </w:rPr>
        <w:t>★系统具备智 能电池管理、远程监控等功能</w:t>
      </w:r>
    </w:p>
    <w:p>
      <w:pPr>
        <w:spacing w:line="400" w:lineRule="exact"/>
        <w:rPr>
          <w:rFonts w:ascii="宋体" w:hAnsi="宋体"/>
          <w:sz w:val="24"/>
        </w:rPr>
      </w:pPr>
      <w:r>
        <w:rPr>
          <w:rFonts w:hint="eastAsia" w:ascii="宋体" w:hAnsi="宋体"/>
          <w:sz w:val="24"/>
        </w:rPr>
        <w:t>6</w:t>
      </w:r>
      <w:r>
        <w:rPr>
          <w:rFonts w:ascii="宋体" w:hAnsi="宋体"/>
          <w:sz w:val="24"/>
        </w:rPr>
        <w:t xml:space="preserve">. </w:t>
      </w:r>
      <w:r>
        <w:rPr>
          <w:rFonts w:hint="eastAsia" w:ascii="宋体" w:hAnsi="宋体"/>
          <w:sz w:val="24"/>
        </w:rPr>
        <w:t>★85～300V AC 超宽交流电压输入范围</w:t>
      </w:r>
    </w:p>
    <w:p>
      <w:pPr>
        <w:spacing w:line="400" w:lineRule="exact"/>
        <w:rPr>
          <w:rFonts w:ascii="宋体" w:hAnsi="宋体"/>
          <w:sz w:val="24"/>
        </w:rPr>
      </w:pPr>
      <w:r>
        <w:rPr>
          <w:rFonts w:hint="eastAsia" w:ascii="宋体" w:hAnsi="宋体"/>
          <w:sz w:val="24"/>
        </w:rPr>
        <w:t>7</w:t>
      </w:r>
      <w:r>
        <w:rPr>
          <w:rFonts w:ascii="宋体" w:hAnsi="宋体"/>
          <w:sz w:val="24"/>
        </w:rPr>
        <w:t xml:space="preserve">. </w:t>
      </w:r>
      <w:r>
        <w:rPr>
          <w:rFonts w:hint="eastAsia" w:ascii="宋体" w:hAnsi="宋体"/>
          <w:sz w:val="24"/>
        </w:rPr>
        <w:t>★整流模块工作温度范围：-40～+75℃</w:t>
      </w:r>
    </w:p>
    <w:p>
      <w:pPr>
        <w:spacing w:line="400" w:lineRule="exact"/>
        <w:rPr>
          <w:rFonts w:ascii="宋体" w:hAnsi="宋体"/>
          <w:sz w:val="24"/>
        </w:rPr>
      </w:pPr>
      <w:r>
        <w:rPr>
          <w:rFonts w:hint="eastAsia" w:ascii="宋体" w:hAnsi="宋体"/>
          <w:sz w:val="24"/>
        </w:rPr>
        <w:t>8</w:t>
      </w:r>
      <w:r>
        <w:rPr>
          <w:rFonts w:ascii="宋体" w:hAnsi="宋体"/>
          <w:sz w:val="24"/>
        </w:rPr>
        <w:t xml:space="preserve">. </w:t>
      </w:r>
      <w:r>
        <w:rPr>
          <w:rFonts w:hint="eastAsia" w:ascii="宋体" w:hAnsi="宋体"/>
          <w:sz w:val="24"/>
        </w:rPr>
        <w:t>★电源模块支持热插拔，安装维护便利</w:t>
      </w:r>
    </w:p>
    <w:p>
      <w:pPr>
        <w:spacing w:line="400" w:lineRule="exact"/>
        <w:rPr>
          <w:rFonts w:ascii="宋体" w:hAnsi="宋体"/>
          <w:sz w:val="24"/>
        </w:rPr>
      </w:pPr>
      <w:r>
        <w:rPr>
          <w:rFonts w:hint="eastAsia" w:ascii="宋体" w:hAnsi="宋体"/>
          <w:sz w:val="24"/>
        </w:rPr>
        <w:t>9</w:t>
      </w:r>
      <w:r>
        <w:rPr>
          <w:rFonts w:ascii="宋体" w:hAnsi="宋体"/>
          <w:sz w:val="24"/>
        </w:rPr>
        <w:t xml:space="preserve">. </w:t>
      </w:r>
      <w:r>
        <w:rPr>
          <w:rFonts w:hint="eastAsia" w:ascii="宋体" w:hAnsi="宋体"/>
          <w:sz w:val="24"/>
        </w:rPr>
        <w:t>★智能化蓄电池管理和电池保护，延长电池使用寿命</w:t>
      </w:r>
    </w:p>
    <w:p>
      <w:pPr>
        <w:spacing w:line="400" w:lineRule="exact"/>
        <w:rPr>
          <w:rFonts w:ascii="宋体" w:hAnsi="宋体"/>
          <w:sz w:val="24"/>
        </w:rPr>
      </w:pPr>
      <w:r>
        <w:rPr>
          <w:rFonts w:ascii="宋体" w:hAnsi="宋体"/>
          <w:sz w:val="24"/>
        </w:rPr>
        <w:t xml:space="preserve">10. </w:t>
      </w:r>
      <w:r>
        <w:rPr>
          <w:rFonts w:hint="eastAsia" w:ascii="宋体" w:hAnsi="宋体"/>
          <w:sz w:val="24"/>
        </w:rPr>
        <w:t>★支持环境监控，可通过干接点、串口或网络接口实现远程 管理</w:t>
      </w:r>
    </w:p>
    <w:p>
      <w:pPr>
        <w:spacing w:line="400" w:lineRule="exact"/>
        <w:rPr>
          <w:rFonts w:ascii="宋体" w:hAnsi="宋体"/>
          <w:sz w:val="24"/>
        </w:rPr>
      </w:pPr>
      <w:r>
        <w:rPr>
          <w:rFonts w:ascii="宋体" w:hAnsi="宋体"/>
          <w:sz w:val="24"/>
        </w:rPr>
        <w:t xml:space="preserve">11. </w:t>
      </w:r>
      <w:r>
        <w:rPr>
          <w:rFonts w:hint="eastAsia" w:ascii="宋体" w:hAnsi="宋体"/>
          <w:sz w:val="24"/>
        </w:rPr>
        <w:t>★尺寸（宽 × 深 × 高）482.6 mm（含挂耳） × 255 mm × 43.6 mm</w:t>
      </w:r>
    </w:p>
    <w:p>
      <w:pPr>
        <w:spacing w:line="400" w:lineRule="exact"/>
        <w:rPr>
          <w:rFonts w:ascii="宋体" w:hAnsi="宋体"/>
          <w:sz w:val="24"/>
        </w:rPr>
      </w:pPr>
      <w:r>
        <w:rPr>
          <w:rFonts w:ascii="宋体" w:hAnsi="宋体"/>
          <w:sz w:val="24"/>
        </w:rPr>
        <w:t xml:space="preserve">12. </w:t>
      </w:r>
      <w:r>
        <w:rPr>
          <w:rFonts w:hint="eastAsia" w:ascii="宋体" w:hAnsi="宋体"/>
          <w:sz w:val="24"/>
        </w:rPr>
        <w:t>★重量≤ 8 kg</w:t>
      </w:r>
    </w:p>
    <w:p>
      <w:pPr>
        <w:spacing w:line="400" w:lineRule="exact"/>
        <w:rPr>
          <w:rFonts w:ascii="宋体" w:hAnsi="宋体"/>
          <w:sz w:val="24"/>
        </w:rPr>
      </w:pPr>
      <w:r>
        <w:rPr>
          <w:rFonts w:ascii="宋体" w:hAnsi="宋体"/>
          <w:sz w:val="24"/>
        </w:rPr>
        <w:t xml:space="preserve">13. </w:t>
      </w:r>
      <w:r>
        <w:rPr>
          <w:rFonts w:hint="eastAsia" w:ascii="宋体" w:hAnsi="宋体"/>
          <w:sz w:val="24"/>
        </w:rPr>
        <w:t>★输入制式: 220 V AC 单相，兼容110 V AC双火线</w:t>
      </w:r>
    </w:p>
    <w:p>
      <w:pPr>
        <w:spacing w:line="400" w:lineRule="exact"/>
        <w:rPr>
          <w:rFonts w:ascii="宋体" w:hAnsi="宋体"/>
          <w:sz w:val="24"/>
        </w:rPr>
      </w:pPr>
      <w:r>
        <w:rPr>
          <w:rFonts w:ascii="宋体" w:hAnsi="宋体"/>
          <w:sz w:val="24"/>
        </w:rPr>
        <w:t xml:space="preserve">14. </w:t>
      </w:r>
      <w:r>
        <w:rPr>
          <w:rFonts w:hint="eastAsia" w:ascii="宋体" w:hAnsi="宋体"/>
          <w:sz w:val="24"/>
        </w:rPr>
        <w:t>★输入电压: 85~300  V AC，额定电压：220 V AC</w:t>
      </w:r>
    </w:p>
    <w:p>
      <w:pPr>
        <w:spacing w:line="400" w:lineRule="exact"/>
        <w:rPr>
          <w:rFonts w:ascii="宋体" w:hAnsi="宋体"/>
          <w:sz w:val="24"/>
        </w:rPr>
      </w:pPr>
      <w:r>
        <w:rPr>
          <w:rFonts w:ascii="宋体" w:hAnsi="宋体"/>
          <w:sz w:val="24"/>
        </w:rPr>
        <w:t xml:space="preserve">15. </w:t>
      </w:r>
      <w:r>
        <w:rPr>
          <w:rFonts w:hint="eastAsia" w:ascii="宋体" w:hAnsi="宋体"/>
          <w:sz w:val="24"/>
        </w:rPr>
        <w:t xml:space="preserve">★频率: </w:t>
      </w:r>
      <w:r>
        <w:rPr>
          <w:rFonts w:ascii="宋体" w:hAnsi="宋体"/>
          <w:sz w:val="24"/>
        </w:rPr>
        <w:t>45</w:t>
      </w:r>
      <w:r>
        <w:rPr>
          <w:rFonts w:hint="eastAsia" w:ascii="宋体" w:hAnsi="宋体"/>
          <w:sz w:val="24"/>
        </w:rPr>
        <w:t xml:space="preserve">~66 Hz，额定频率：50/60 Hz  </w:t>
      </w:r>
    </w:p>
    <w:p>
      <w:pPr>
        <w:spacing w:line="400" w:lineRule="exact"/>
        <w:rPr>
          <w:rFonts w:ascii="宋体" w:hAnsi="宋体"/>
          <w:sz w:val="24"/>
        </w:rPr>
      </w:pPr>
      <w:r>
        <w:rPr>
          <w:rFonts w:ascii="宋体" w:hAnsi="宋体"/>
          <w:sz w:val="24"/>
        </w:rPr>
        <w:t xml:space="preserve">16. </w:t>
      </w:r>
      <w:r>
        <w:rPr>
          <w:rFonts w:hint="eastAsia" w:ascii="宋体" w:hAnsi="宋体"/>
          <w:sz w:val="24"/>
        </w:rPr>
        <w:t>★输出电压: 42~58 V DC，额定电压：53.5 V DC</w:t>
      </w:r>
    </w:p>
    <w:p>
      <w:pPr>
        <w:spacing w:line="400" w:lineRule="exact"/>
        <w:rPr>
          <w:rFonts w:ascii="宋体" w:hAnsi="宋体"/>
          <w:sz w:val="24"/>
        </w:rPr>
      </w:pPr>
      <w:r>
        <w:rPr>
          <w:rFonts w:ascii="宋体" w:hAnsi="宋体"/>
          <w:sz w:val="24"/>
        </w:rPr>
        <w:t xml:space="preserve">17. </w:t>
      </w:r>
      <w:r>
        <w:rPr>
          <w:rFonts w:hint="eastAsia" w:ascii="宋体" w:hAnsi="宋体"/>
          <w:sz w:val="24"/>
        </w:rPr>
        <w:t>★走线方式: 前进前出</w:t>
      </w:r>
    </w:p>
    <w:p>
      <w:pPr>
        <w:spacing w:line="400" w:lineRule="exact"/>
        <w:rPr>
          <w:rFonts w:ascii="宋体" w:hAnsi="宋体"/>
          <w:sz w:val="24"/>
        </w:rPr>
      </w:pPr>
      <w:r>
        <w:rPr>
          <w:rFonts w:ascii="宋体" w:hAnsi="宋体"/>
          <w:sz w:val="24"/>
        </w:rPr>
        <w:t xml:space="preserve">18. </w:t>
      </w:r>
      <w:r>
        <w:rPr>
          <w:rFonts w:hint="eastAsia" w:ascii="宋体" w:hAnsi="宋体"/>
          <w:sz w:val="24"/>
        </w:rPr>
        <w:t>★配套调试设备：T</w:t>
      </w:r>
      <w:r>
        <w:rPr>
          <w:rFonts w:ascii="宋体" w:hAnsi="宋体"/>
          <w:sz w:val="24"/>
        </w:rPr>
        <w:t>HANKPAD</w:t>
      </w:r>
      <w:r>
        <w:rPr>
          <w:rFonts w:hint="eastAsia" w:ascii="宋体" w:hAnsi="宋体"/>
          <w:sz w:val="24"/>
        </w:rPr>
        <w:t xml:space="preserve"> </w:t>
      </w:r>
      <w:r>
        <w:rPr>
          <w:rFonts w:ascii="宋体" w:hAnsi="宋体"/>
          <w:sz w:val="24"/>
        </w:rPr>
        <w:t>X1 C</w:t>
      </w:r>
      <w:r>
        <w:rPr>
          <w:rFonts w:hint="eastAsia" w:ascii="宋体" w:hAnsi="宋体"/>
          <w:sz w:val="24"/>
        </w:rPr>
        <w:t>a</w:t>
      </w:r>
      <w:r>
        <w:rPr>
          <w:rFonts w:ascii="宋体" w:hAnsi="宋体"/>
          <w:sz w:val="24"/>
        </w:rPr>
        <w:t>rbon</w:t>
      </w:r>
    </w:p>
    <w:p>
      <w:pPr>
        <w:spacing w:line="360" w:lineRule="auto"/>
        <w:rPr>
          <w:rFonts w:ascii="宋体" w:hAnsi="宋体"/>
          <w:b/>
          <w:sz w:val="24"/>
        </w:rPr>
      </w:pPr>
    </w:p>
    <w:bookmarkEnd w:id="1"/>
    <w:bookmarkEnd w:id="2"/>
    <w:bookmarkEnd w:id="3"/>
    <w:p>
      <w:pPr>
        <w:spacing w:line="360" w:lineRule="auto"/>
        <w:rPr>
          <w:rFonts w:ascii="宋体" w:hAnsi="宋体"/>
          <w:b/>
          <w:sz w:val="24"/>
        </w:rPr>
      </w:pPr>
      <w:r>
        <w:rPr>
          <w:rFonts w:ascii="宋体" w:hAnsi="宋体"/>
          <w:b/>
          <w:sz w:val="24"/>
        </w:rPr>
        <w:t>七、</w:t>
      </w:r>
      <w:r>
        <w:rPr>
          <w:rFonts w:hint="eastAsia" w:ascii="宋体" w:hAnsi="宋体"/>
          <w:b/>
          <w:sz w:val="24"/>
        </w:rPr>
        <w:t>制造商生产能力（以下★为必须满足项）</w:t>
      </w:r>
    </w:p>
    <w:p>
      <w:pPr>
        <w:spacing w:line="400" w:lineRule="exact"/>
        <w:rPr>
          <w:rFonts w:ascii="宋体" w:hAnsi="宋体"/>
          <w:sz w:val="24"/>
        </w:rPr>
      </w:pPr>
      <w:r>
        <w:rPr>
          <w:rFonts w:hint="eastAsia" w:ascii="宋体" w:hAnsi="宋体"/>
          <w:sz w:val="24"/>
        </w:rPr>
        <w:t>1. ★制造商生产能力及技术实力强，有全系列UPS产品，有生产单台UPS容量大于1500KVA设备能力</w:t>
      </w:r>
    </w:p>
    <w:p>
      <w:pPr>
        <w:spacing w:line="400" w:lineRule="exact"/>
        <w:rPr>
          <w:rFonts w:ascii="宋体" w:hAnsi="宋体"/>
          <w:sz w:val="24"/>
        </w:rPr>
      </w:pPr>
      <w:r>
        <w:rPr>
          <w:rFonts w:ascii="宋体" w:hAnsi="宋体"/>
          <w:sz w:val="24"/>
        </w:rPr>
        <w:t xml:space="preserve">2. </w:t>
      </w:r>
      <w:r>
        <w:rPr>
          <w:rFonts w:hint="eastAsia" w:ascii="宋体" w:hAnsi="宋体"/>
          <w:sz w:val="24"/>
        </w:rPr>
        <w:t>★制造商具有国家CANS认证的检测平台并提供不少于2个的CANS认证证书</w:t>
      </w:r>
    </w:p>
    <w:p>
      <w:pPr>
        <w:spacing w:line="360" w:lineRule="auto"/>
        <w:rPr>
          <w:rFonts w:ascii="宋体" w:hAnsi="宋体"/>
          <w:b/>
          <w:sz w:val="24"/>
        </w:rPr>
      </w:pPr>
    </w:p>
    <w:p>
      <w:pPr>
        <w:spacing w:line="360" w:lineRule="auto"/>
        <w:rPr>
          <w:rFonts w:ascii="宋体" w:hAnsi="宋体"/>
          <w:b/>
          <w:sz w:val="24"/>
        </w:rPr>
      </w:pPr>
      <w:r>
        <w:rPr>
          <w:rFonts w:ascii="宋体" w:hAnsi="宋体"/>
          <w:b/>
          <w:sz w:val="24"/>
        </w:rPr>
        <w:t>八、</w:t>
      </w:r>
      <w:r>
        <w:rPr>
          <w:rFonts w:hint="eastAsia" w:ascii="宋体" w:hAnsi="宋体"/>
          <w:b/>
          <w:sz w:val="24"/>
        </w:rPr>
        <w:t>制造商资质（以下★为必须满足项）</w:t>
      </w:r>
    </w:p>
    <w:p>
      <w:pPr>
        <w:spacing w:line="400" w:lineRule="exact"/>
        <w:rPr>
          <w:rFonts w:ascii="宋体" w:hAnsi="宋体"/>
          <w:sz w:val="24"/>
        </w:rPr>
      </w:pPr>
      <w:r>
        <w:rPr>
          <w:rFonts w:hint="eastAsia" w:ascii="宋体" w:hAnsi="宋体"/>
          <w:sz w:val="24"/>
        </w:rPr>
        <w:t>1. ★制造商入围中石油2019年度UPS电源合资品牌</w:t>
      </w:r>
    </w:p>
    <w:p>
      <w:pPr>
        <w:spacing w:line="400" w:lineRule="exact"/>
        <w:rPr>
          <w:rFonts w:ascii="宋体" w:hAnsi="宋体"/>
          <w:sz w:val="24"/>
        </w:rPr>
      </w:pPr>
      <w:r>
        <w:rPr>
          <w:rFonts w:hint="eastAsia" w:ascii="宋体" w:hAnsi="宋体"/>
          <w:sz w:val="24"/>
        </w:rPr>
        <w:t>2</w:t>
      </w:r>
      <w:r>
        <w:rPr>
          <w:rFonts w:ascii="宋体" w:hAnsi="宋体"/>
          <w:sz w:val="24"/>
        </w:rPr>
        <w:t>. ISO9001</w:t>
      </w:r>
      <w:r>
        <w:rPr>
          <w:rFonts w:hint="eastAsia" w:ascii="宋体" w:hAnsi="宋体"/>
          <w:sz w:val="24"/>
        </w:rPr>
        <w:t>认证证书</w:t>
      </w:r>
    </w:p>
    <w:p>
      <w:pPr>
        <w:spacing w:line="400" w:lineRule="exact"/>
        <w:rPr>
          <w:rFonts w:ascii="宋体" w:hAnsi="宋体"/>
          <w:sz w:val="24"/>
        </w:rPr>
      </w:pPr>
      <w:r>
        <w:rPr>
          <w:rFonts w:hint="eastAsia" w:ascii="宋体" w:hAnsi="宋体"/>
          <w:sz w:val="24"/>
        </w:rPr>
        <w:t>3</w:t>
      </w:r>
      <w:r>
        <w:rPr>
          <w:rFonts w:ascii="宋体" w:hAnsi="宋体"/>
          <w:sz w:val="24"/>
        </w:rPr>
        <w:t>. ISO</w:t>
      </w:r>
      <w:r>
        <w:rPr>
          <w:rFonts w:hint="eastAsia" w:ascii="宋体" w:hAnsi="宋体"/>
          <w:sz w:val="24"/>
        </w:rPr>
        <w:t>14</w:t>
      </w:r>
      <w:r>
        <w:rPr>
          <w:rFonts w:ascii="宋体" w:hAnsi="宋体"/>
          <w:sz w:val="24"/>
        </w:rPr>
        <w:t>001</w:t>
      </w:r>
      <w:r>
        <w:rPr>
          <w:rFonts w:hint="eastAsia" w:ascii="宋体" w:hAnsi="宋体"/>
          <w:sz w:val="24"/>
        </w:rPr>
        <w:t>认证证书</w:t>
      </w:r>
    </w:p>
    <w:p>
      <w:pPr>
        <w:spacing w:line="400" w:lineRule="exact"/>
        <w:rPr>
          <w:rFonts w:ascii="宋体" w:hAnsi="宋体"/>
          <w:sz w:val="24"/>
        </w:rPr>
      </w:pPr>
      <w:r>
        <w:rPr>
          <w:rFonts w:hint="eastAsia" w:ascii="宋体" w:hAnsi="宋体"/>
          <w:sz w:val="24"/>
        </w:rPr>
        <w:t>4</w:t>
      </w:r>
      <w:r>
        <w:rPr>
          <w:rFonts w:ascii="宋体" w:hAnsi="宋体"/>
          <w:sz w:val="24"/>
        </w:rPr>
        <w:t>. ISO</w:t>
      </w:r>
      <w:r>
        <w:rPr>
          <w:rFonts w:hint="eastAsia" w:ascii="宋体" w:hAnsi="宋体"/>
          <w:sz w:val="24"/>
        </w:rPr>
        <w:t>145</w:t>
      </w:r>
      <w:r>
        <w:rPr>
          <w:rFonts w:ascii="宋体" w:hAnsi="宋体"/>
          <w:sz w:val="24"/>
        </w:rPr>
        <w:t>001</w:t>
      </w:r>
      <w:r>
        <w:rPr>
          <w:rFonts w:hint="eastAsia" w:ascii="宋体" w:hAnsi="宋体"/>
          <w:sz w:val="24"/>
        </w:rPr>
        <w:t>认证证书</w:t>
      </w:r>
    </w:p>
    <w:p>
      <w:pPr>
        <w:spacing w:line="400" w:lineRule="exact"/>
        <w:rPr>
          <w:rFonts w:ascii="宋体" w:hAnsi="宋体"/>
          <w:sz w:val="24"/>
        </w:rPr>
      </w:pPr>
      <w:r>
        <w:rPr>
          <w:rFonts w:hint="eastAsia" w:ascii="宋体" w:hAnsi="宋体"/>
          <w:sz w:val="24"/>
        </w:rPr>
        <w:t>5</w:t>
      </w:r>
      <w:r>
        <w:rPr>
          <w:rFonts w:ascii="宋体" w:hAnsi="宋体"/>
          <w:sz w:val="24"/>
        </w:rPr>
        <w:t>. TCL</w:t>
      </w:r>
      <w:r>
        <w:rPr>
          <w:rFonts w:hint="eastAsia" w:ascii="宋体" w:hAnsi="宋体"/>
          <w:sz w:val="24"/>
        </w:rPr>
        <w:t>检测报告</w:t>
      </w:r>
    </w:p>
    <w:p>
      <w:pPr>
        <w:spacing w:line="400" w:lineRule="exact"/>
        <w:rPr>
          <w:rFonts w:ascii="宋体" w:hAnsi="宋体"/>
          <w:sz w:val="24"/>
        </w:rPr>
      </w:pPr>
      <w:r>
        <w:rPr>
          <w:rFonts w:hint="eastAsia" w:ascii="宋体" w:hAnsi="宋体"/>
          <w:sz w:val="24"/>
        </w:rPr>
        <w:t>6</w:t>
      </w:r>
      <w:r>
        <w:rPr>
          <w:rFonts w:ascii="宋体" w:hAnsi="宋体"/>
          <w:sz w:val="24"/>
        </w:rPr>
        <w:t>. UP</w:t>
      </w:r>
      <w:r>
        <w:rPr>
          <w:rFonts w:hint="eastAsia" w:ascii="宋体" w:hAnsi="宋体"/>
          <w:sz w:val="24"/>
        </w:rPr>
        <w:t>认证证书</w:t>
      </w:r>
    </w:p>
    <w:p>
      <w:pPr>
        <w:spacing w:line="400" w:lineRule="exact"/>
        <w:rPr>
          <w:rFonts w:ascii="宋体" w:hAnsi="宋体"/>
          <w:sz w:val="24"/>
        </w:rPr>
      </w:pPr>
      <w:r>
        <w:rPr>
          <w:rFonts w:hint="eastAsia" w:ascii="宋体" w:hAnsi="宋体"/>
          <w:sz w:val="24"/>
        </w:rPr>
        <w:t>7</w:t>
      </w:r>
      <w:r>
        <w:rPr>
          <w:rFonts w:ascii="宋体" w:hAnsi="宋体"/>
          <w:sz w:val="24"/>
        </w:rPr>
        <w:t>. CE</w:t>
      </w:r>
      <w:r>
        <w:rPr>
          <w:rFonts w:hint="eastAsia" w:ascii="宋体" w:hAnsi="宋体"/>
          <w:sz w:val="24"/>
        </w:rPr>
        <w:t>认证证书</w:t>
      </w:r>
    </w:p>
    <w:p>
      <w:pPr>
        <w:spacing w:line="400" w:lineRule="exact"/>
        <w:rPr>
          <w:rFonts w:ascii="宋体" w:hAnsi="宋体"/>
          <w:sz w:val="24"/>
        </w:rPr>
      </w:pPr>
      <w:r>
        <w:rPr>
          <w:rFonts w:hint="eastAsia" w:ascii="宋体" w:hAnsi="宋体"/>
          <w:sz w:val="24"/>
        </w:rPr>
        <w:t>8</w:t>
      </w:r>
      <w:r>
        <w:rPr>
          <w:rFonts w:ascii="宋体" w:hAnsi="宋体"/>
          <w:sz w:val="24"/>
        </w:rPr>
        <w:t xml:space="preserve">. </w:t>
      </w:r>
      <w:r>
        <w:rPr>
          <w:rFonts w:hint="eastAsia" w:ascii="宋体" w:hAnsi="宋体"/>
          <w:sz w:val="24"/>
        </w:rPr>
        <w:t>专利证书</w:t>
      </w:r>
    </w:p>
    <w:p>
      <w:pPr>
        <w:spacing w:line="400" w:lineRule="exact"/>
        <w:rPr>
          <w:rFonts w:ascii="宋体" w:hAnsi="宋体"/>
          <w:sz w:val="24"/>
        </w:rPr>
      </w:pPr>
    </w:p>
    <w:p>
      <w:pPr>
        <w:spacing w:line="400" w:lineRule="exact"/>
        <w:rPr>
          <w:rFonts w:ascii="宋体" w:hAnsi="宋体"/>
          <w:sz w:val="24"/>
        </w:rPr>
      </w:pPr>
      <w:r>
        <w:rPr>
          <w:rFonts w:hint="eastAsia" w:ascii="宋体" w:hAnsi="宋体"/>
          <w:sz w:val="24"/>
        </w:rPr>
        <w:t>九．ICT Research UPS全年销售额市场排名（以下★为必须满足项）</w:t>
      </w:r>
    </w:p>
    <w:p>
      <w:pPr>
        <w:spacing w:line="400" w:lineRule="exact"/>
        <w:rPr>
          <w:rFonts w:ascii="宋体" w:hAnsi="宋体"/>
          <w:sz w:val="24"/>
        </w:rPr>
      </w:pPr>
      <w:r>
        <w:rPr>
          <w:rFonts w:hint="eastAsia" w:ascii="宋体" w:hAnsi="宋体"/>
          <w:sz w:val="24"/>
        </w:rPr>
        <w:t>1. ★提供第三方ICT Research UPS全年销售额市场排名</w:t>
      </w:r>
    </w:p>
    <w:p>
      <w:pPr>
        <w:spacing w:line="360" w:lineRule="auto"/>
        <w:rPr>
          <w:rFonts w:ascii="宋体" w:hAnsi="宋体"/>
          <w:b/>
          <w:sz w:val="24"/>
        </w:rPr>
      </w:pPr>
    </w:p>
    <w:p>
      <w:pPr>
        <w:spacing w:line="360" w:lineRule="auto"/>
        <w:rPr>
          <w:rFonts w:ascii="宋体" w:hAnsi="宋体"/>
          <w:b/>
          <w:sz w:val="24"/>
        </w:rPr>
      </w:pPr>
      <w:r>
        <w:rPr>
          <w:rFonts w:hint="eastAsia" w:ascii="宋体" w:hAnsi="宋体"/>
          <w:b/>
          <w:sz w:val="24"/>
        </w:rPr>
        <w:t>十</w:t>
      </w:r>
      <w:r>
        <w:rPr>
          <w:rFonts w:ascii="宋体" w:hAnsi="宋体"/>
          <w:b/>
          <w:sz w:val="24"/>
        </w:rPr>
        <w:t>、</w:t>
      </w:r>
      <w:r>
        <w:rPr>
          <w:rFonts w:hint="eastAsia" w:ascii="宋体" w:hAnsi="宋体"/>
          <w:b/>
          <w:sz w:val="24"/>
        </w:rPr>
        <w:t>投入市场使用年限（以下★为必须满足项）</w:t>
      </w:r>
    </w:p>
    <w:p>
      <w:pPr>
        <w:spacing w:line="360" w:lineRule="auto"/>
        <w:rPr>
          <w:rFonts w:ascii="宋体" w:hAnsi="宋体"/>
          <w:sz w:val="24"/>
        </w:rPr>
      </w:pPr>
      <w:r>
        <w:rPr>
          <w:rFonts w:hint="eastAsia" w:ascii="宋体" w:hAnsi="宋体"/>
          <w:sz w:val="24"/>
        </w:rPr>
        <w:t>★此次投标模块化UPS为投放市场多年以上成熟产品（提供2011年泰尔检测报告）为准</w:t>
      </w:r>
    </w:p>
    <w:p>
      <w:pPr>
        <w:spacing w:line="360" w:lineRule="auto"/>
        <w:rPr>
          <w:rFonts w:ascii="宋体" w:hAnsi="宋体"/>
          <w:sz w:val="24"/>
        </w:rPr>
      </w:pPr>
    </w:p>
    <w:p>
      <w:pPr>
        <w:spacing w:line="360" w:lineRule="auto"/>
        <w:rPr>
          <w:rFonts w:ascii="宋体" w:hAnsi="宋体"/>
          <w:b/>
          <w:sz w:val="24"/>
        </w:rPr>
      </w:pPr>
      <w:r>
        <w:rPr>
          <w:rFonts w:ascii="宋体" w:hAnsi="宋体"/>
          <w:b/>
          <w:sz w:val="24"/>
        </w:rPr>
        <w:t>十</w:t>
      </w:r>
      <w:r>
        <w:rPr>
          <w:rFonts w:hint="eastAsia" w:ascii="宋体" w:hAnsi="宋体"/>
          <w:b/>
          <w:sz w:val="24"/>
        </w:rPr>
        <w:t>一</w:t>
      </w:r>
      <w:r>
        <w:rPr>
          <w:rFonts w:ascii="宋体" w:hAnsi="宋体"/>
          <w:b/>
          <w:sz w:val="24"/>
        </w:rPr>
        <w:t>、</w:t>
      </w:r>
      <w:r>
        <w:rPr>
          <w:rFonts w:hint="eastAsia" w:ascii="宋体" w:hAnsi="宋体"/>
          <w:b/>
          <w:sz w:val="24"/>
        </w:rPr>
        <w:t>设备配置要求（以下★为必须满足项）</w:t>
      </w:r>
    </w:p>
    <w:p>
      <w:pPr>
        <w:spacing w:before="156" w:beforeLines="5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投标方参照设备主要规格要求（参数），提供完整投标方案和配置清单，不得有漏项，并完整真实填写规格性能参数表，提供备件、专用工具清单及服务等相关内容。</w:t>
      </w:r>
    </w:p>
    <w:p>
      <w:pPr>
        <w:spacing w:before="156" w:beforeLines="5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★投标方须承诺所投产品为原制造厂商制造，承诺所供应产品为制造厂商正规渠道销售,设备在用户当地享有正常保修服务</w:t>
      </w:r>
      <w:r>
        <w:rPr>
          <w:rFonts w:ascii="宋体" w:hAnsi="宋体"/>
          <w:sz w:val="24"/>
        </w:rPr>
        <w:t>。</w:t>
      </w:r>
    </w:p>
    <w:p>
      <w:pPr>
        <w:spacing w:before="156" w:beforeLines="50"/>
        <w:rPr>
          <w:rFonts w:ascii="宋体" w:hAnsi="宋体"/>
          <w:sz w:val="24"/>
        </w:rPr>
      </w:pPr>
      <w:r>
        <w:rPr>
          <w:rFonts w:hint="eastAsia" w:ascii="宋体" w:hAnsi="宋体"/>
          <w:sz w:val="24"/>
        </w:rPr>
        <w:t>3</w:t>
      </w:r>
      <w:r>
        <w:rPr>
          <w:rFonts w:ascii="宋体" w:hAnsi="宋体"/>
          <w:sz w:val="24"/>
        </w:rPr>
        <w:t xml:space="preserve">. </w:t>
      </w:r>
      <w:r>
        <w:rPr>
          <w:rFonts w:hint="eastAsia" w:ascii="宋体" w:hAnsi="宋体"/>
          <w:sz w:val="24"/>
        </w:rPr>
        <w:t>★其它要求：为保证项目顺利实施和后续可靠的服务，投标人必须保证所供应为原厂正规销售途径以保障设备在用户当地享有正常保修服务</w:t>
      </w:r>
      <w:r>
        <w:rPr>
          <w:rFonts w:ascii="宋体" w:hAnsi="宋体"/>
          <w:sz w:val="24"/>
        </w:rPr>
        <w:t>。</w:t>
      </w:r>
      <w:r>
        <w:rPr>
          <w:rFonts w:hint="eastAsia" w:ascii="宋体" w:hAnsi="宋体"/>
          <w:sz w:val="24"/>
        </w:rPr>
        <w:t>售后服务承诺函作为验收材料。</w:t>
      </w:r>
    </w:p>
    <w:p>
      <w:pPr>
        <w:spacing w:before="156" w:beforeLines="50"/>
        <w:rPr>
          <w:rFonts w:ascii="宋体" w:hAnsi="宋体"/>
          <w:sz w:val="24"/>
        </w:rPr>
      </w:pPr>
    </w:p>
    <w:p>
      <w:pPr>
        <w:spacing w:line="360" w:lineRule="auto"/>
        <w:rPr>
          <w:rFonts w:ascii="宋体" w:hAnsi="宋体"/>
          <w:b/>
          <w:sz w:val="24"/>
        </w:rPr>
      </w:pPr>
      <w:r>
        <w:rPr>
          <w:rFonts w:ascii="宋体" w:hAnsi="宋体"/>
          <w:b/>
          <w:sz w:val="24"/>
        </w:rPr>
        <w:t>十</w:t>
      </w:r>
      <w:r>
        <w:rPr>
          <w:rFonts w:hint="eastAsia" w:ascii="宋体" w:hAnsi="宋体"/>
          <w:b/>
          <w:sz w:val="24"/>
        </w:rPr>
        <w:t>二</w:t>
      </w:r>
      <w:r>
        <w:rPr>
          <w:rFonts w:ascii="宋体" w:hAnsi="宋体"/>
          <w:b/>
          <w:sz w:val="24"/>
        </w:rPr>
        <w:t>、</w:t>
      </w:r>
      <w:r>
        <w:rPr>
          <w:rFonts w:hint="eastAsia" w:ascii="宋体" w:hAnsi="宋体"/>
          <w:b/>
          <w:sz w:val="24"/>
        </w:rPr>
        <w:t>包装和运输要求</w:t>
      </w:r>
    </w:p>
    <w:p>
      <w:pPr>
        <w:spacing w:before="156" w:beforeLines="50"/>
        <w:ind w:firstLine="360" w:firstLineChars="150"/>
        <w:rPr>
          <w:rFonts w:ascii="宋体" w:hAnsi="宋体"/>
          <w:sz w:val="24"/>
        </w:rPr>
      </w:pPr>
      <w:r>
        <w:rPr>
          <w:rFonts w:hint="eastAsia" w:ascii="宋体" w:hAnsi="宋体"/>
          <w:sz w:val="24"/>
        </w:rPr>
        <w:t>运输包装由中标单位负责，包装箱应用新的坚固的纸箱</w:t>
      </w:r>
      <w:r>
        <w:rPr>
          <w:rFonts w:ascii="宋体" w:hAnsi="宋体"/>
          <w:sz w:val="24"/>
        </w:rPr>
        <w:t>、</w:t>
      </w:r>
      <w:r>
        <w:rPr>
          <w:rFonts w:hint="eastAsia" w:ascii="宋体" w:hAnsi="宋体"/>
          <w:sz w:val="24"/>
        </w:rPr>
        <w:t>木箱、铁皮箱等，适于长途运输，防潮防锈、防震、防粗暴装卸，如因包装、运输不当引起的责任，由中标单位负责赔偿。</w:t>
      </w:r>
    </w:p>
    <w:p>
      <w:pPr>
        <w:spacing w:before="312" w:beforeLines="100"/>
        <w:rPr>
          <w:rFonts w:ascii="宋体" w:hAnsi="宋体"/>
          <w:b/>
          <w:sz w:val="24"/>
        </w:rPr>
      </w:pPr>
      <w:r>
        <w:rPr>
          <w:rFonts w:ascii="宋体" w:hAnsi="宋体"/>
          <w:b/>
          <w:bCs/>
          <w:sz w:val="24"/>
        </w:rPr>
        <w:t>十</w:t>
      </w:r>
      <w:r>
        <w:rPr>
          <w:rFonts w:hint="eastAsia" w:ascii="宋体" w:hAnsi="宋体"/>
          <w:b/>
          <w:bCs/>
          <w:sz w:val="24"/>
        </w:rPr>
        <w:t>三</w:t>
      </w:r>
      <w:r>
        <w:rPr>
          <w:rFonts w:ascii="宋体" w:hAnsi="宋体"/>
          <w:b/>
          <w:bCs/>
          <w:sz w:val="24"/>
        </w:rPr>
        <w:t>、</w:t>
      </w:r>
      <w:r>
        <w:rPr>
          <w:rFonts w:hint="eastAsia" w:ascii="宋体" w:hAnsi="宋体"/>
          <w:b/>
          <w:sz w:val="24"/>
        </w:rPr>
        <w:t>供货时提供必要的技术资料及要求（以下★为必须满足项）</w:t>
      </w:r>
    </w:p>
    <w:p>
      <w:pPr>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★系统安装及维护手册、产品参数手册和符合用户单位需要的工艺安全信息资料。</w:t>
      </w:r>
    </w:p>
    <w:p>
      <w:pPr>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★设备规格性能以及相应的技术说明和结构示意图。</w:t>
      </w:r>
    </w:p>
    <w:p>
      <w:pPr>
        <w:rPr>
          <w:rFonts w:ascii="宋体" w:hAnsi="宋体"/>
          <w:sz w:val="24"/>
        </w:rPr>
      </w:pPr>
      <w:r>
        <w:rPr>
          <w:rFonts w:hint="eastAsia" w:ascii="宋体" w:hAnsi="宋体"/>
          <w:sz w:val="24"/>
        </w:rPr>
        <w:t>3</w:t>
      </w:r>
      <w:r>
        <w:rPr>
          <w:rFonts w:ascii="宋体" w:hAnsi="宋体"/>
          <w:sz w:val="24"/>
        </w:rPr>
        <w:t xml:space="preserve">. </w:t>
      </w:r>
      <w:r>
        <w:rPr>
          <w:rFonts w:hint="eastAsia" w:ascii="宋体" w:hAnsi="宋体"/>
          <w:sz w:val="24"/>
        </w:rPr>
        <w:t>★产品出厂的产品检验合格证书、检测报告。</w:t>
      </w:r>
    </w:p>
    <w:p>
      <w:pPr>
        <w:rPr>
          <w:rFonts w:ascii="宋体" w:hAnsi="宋体"/>
          <w:sz w:val="24"/>
        </w:rPr>
      </w:pPr>
      <w:r>
        <w:rPr>
          <w:rFonts w:hint="eastAsia" w:ascii="宋体" w:hAnsi="宋体"/>
          <w:sz w:val="24"/>
        </w:rPr>
        <w:t>4</w:t>
      </w:r>
      <w:r>
        <w:rPr>
          <w:rFonts w:ascii="宋体" w:hAnsi="宋体"/>
          <w:sz w:val="24"/>
        </w:rPr>
        <w:t xml:space="preserve">. </w:t>
      </w:r>
      <w:r>
        <w:rPr>
          <w:rFonts w:hint="eastAsia" w:ascii="宋体" w:hAnsi="宋体"/>
          <w:sz w:val="24"/>
        </w:rPr>
        <w:t>★制造厂商原厂证明、制造厂商售后服务承诺函，否则不予验收。</w:t>
      </w:r>
    </w:p>
    <w:p>
      <w:pPr>
        <w:spacing w:before="312" w:beforeLines="100"/>
        <w:rPr>
          <w:rFonts w:ascii="宋体" w:hAnsi="宋体"/>
          <w:b/>
          <w:sz w:val="24"/>
        </w:rPr>
      </w:pPr>
      <w:r>
        <w:rPr>
          <w:rFonts w:ascii="宋体" w:hAnsi="宋体"/>
          <w:b/>
          <w:sz w:val="24"/>
        </w:rPr>
        <w:t>十</w:t>
      </w:r>
      <w:r>
        <w:rPr>
          <w:rFonts w:hint="eastAsia" w:ascii="宋体" w:hAnsi="宋体"/>
          <w:b/>
          <w:sz w:val="24"/>
        </w:rPr>
        <w:t>四、安装调试与验收要求（以下★为必须满足项）</w:t>
      </w:r>
    </w:p>
    <w:p>
      <w:pPr>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本项目为交钥匙工程，中标单位完成现场勘察，安装调试，数据迁移，系统上线全程服务，项目中所需网线等配件、辅材均由中标方提供。</w:t>
      </w:r>
    </w:p>
    <w:p>
      <w:pPr>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★提供本项目U</w:t>
      </w:r>
      <w:r>
        <w:rPr>
          <w:rFonts w:ascii="宋体" w:hAnsi="宋体"/>
          <w:sz w:val="24"/>
        </w:rPr>
        <w:t>PS</w:t>
      </w:r>
      <w:r>
        <w:rPr>
          <w:rFonts w:hint="eastAsia" w:ascii="宋体" w:hAnsi="宋体"/>
          <w:sz w:val="24"/>
        </w:rPr>
        <w:t>详细施工安装方案及配电改造方案</w:t>
      </w:r>
    </w:p>
    <w:p>
      <w:pPr>
        <w:rPr>
          <w:rFonts w:ascii="宋体" w:hAnsi="宋体"/>
          <w:sz w:val="24"/>
        </w:rPr>
      </w:pPr>
      <w:r>
        <w:rPr>
          <w:rFonts w:hint="eastAsia" w:ascii="宋体" w:hAnsi="宋体"/>
          <w:sz w:val="24"/>
        </w:rPr>
        <w:t>3</w:t>
      </w:r>
      <w:r>
        <w:rPr>
          <w:rFonts w:ascii="宋体" w:hAnsi="宋体"/>
          <w:sz w:val="24"/>
        </w:rPr>
        <w:t xml:space="preserve">. </w:t>
      </w:r>
      <w:r>
        <w:rPr>
          <w:rFonts w:hint="eastAsia" w:ascii="宋体" w:hAnsi="宋体"/>
          <w:sz w:val="24"/>
        </w:rPr>
        <w:t>设备验收，以用户和中标单位签署的技术协议、合同等相关资料为依据进12</w:t>
      </w:r>
      <w:r>
        <w:rPr>
          <w:rFonts w:ascii="宋体" w:hAnsi="宋体"/>
          <w:sz w:val="24"/>
        </w:rPr>
        <w:t>项</w:t>
      </w:r>
      <w:r>
        <w:rPr>
          <w:rFonts w:hint="eastAsia" w:ascii="宋体" w:hAnsi="宋体"/>
          <w:sz w:val="24"/>
        </w:rPr>
        <w:t>验收。</w:t>
      </w:r>
    </w:p>
    <w:p>
      <w:pPr>
        <w:rPr>
          <w:rFonts w:ascii="宋体" w:hAnsi="宋体"/>
          <w:sz w:val="24"/>
        </w:rPr>
      </w:pPr>
      <w:r>
        <w:rPr>
          <w:rFonts w:hint="eastAsia" w:ascii="宋体" w:hAnsi="宋体"/>
          <w:sz w:val="24"/>
        </w:rPr>
        <w:t>4. 中标单位负责将所供设备运送到用户指定安装地点进行设备安装调试、9</w:t>
      </w:r>
      <w:r>
        <w:rPr>
          <w:rFonts w:ascii="宋体" w:hAnsi="宋体"/>
          <w:sz w:val="24"/>
        </w:rPr>
        <w:t>成测试</w:t>
      </w:r>
      <w:r>
        <w:rPr>
          <w:rFonts w:hint="eastAsia" w:ascii="宋体" w:hAnsi="宋体"/>
          <w:sz w:val="24"/>
        </w:rPr>
        <w:t>工作。</w:t>
      </w:r>
    </w:p>
    <w:p>
      <w:pPr>
        <w:rPr>
          <w:rFonts w:ascii="宋体" w:hAnsi="宋体"/>
          <w:b/>
          <w:sz w:val="24"/>
        </w:rPr>
      </w:pPr>
      <w:r>
        <w:rPr>
          <w:rFonts w:hint="eastAsia" w:ascii="宋体" w:hAnsi="宋体"/>
          <w:sz w:val="24"/>
        </w:rPr>
        <w:t>5</w:t>
      </w:r>
      <w:r>
        <w:rPr>
          <w:rFonts w:ascii="宋体" w:hAnsi="宋体"/>
          <w:sz w:val="24"/>
        </w:rPr>
        <w:t xml:space="preserve">. </w:t>
      </w:r>
      <w:r>
        <w:rPr>
          <w:rFonts w:hint="eastAsia" w:ascii="宋体" w:hAnsi="宋体"/>
          <w:sz w:val="24"/>
        </w:rPr>
        <w:t>设备运抵安装现场后，中标单位与用户共同进行设备现场数量清点验收。如确认所供货物短缺或损坏，中标单位应在规定的时间内补齐或更换。</w:t>
      </w:r>
    </w:p>
    <w:p>
      <w:pPr>
        <w:spacing w:before="312" w:beforeLines="100"/>
        <w:rPr>
          <w:b/>
          <w:sz w:val="24"/>
        </w:rPr>
      </w:pPr>
      <w:r>
        <w:rPr>
          <w:rFonts w:hint="eastAsia"/>
          <w:b/>
          <w:sz w:val="24"/>
        </w:rPr>
        <w:t>十五、技术培训要求</w:t>
      </w:r>
      <w:r>
        <w:rPr>
          <w:rFonts w:hint="eastAsia" w:ascii="宋体" w:hAnsi="宋体"/>
          <w:b/>
          <w:sz w:val="24"/>
        </w:rPr>
        <w:t>（以下★为必须满足项）</w:t>
      </w:r>
    </w:p>
    <w:p>
      <w:pPr>
        <w:rPr>
          <w:rFonts w:ascii="宋体" w:hAnsi="宋体"/>
          <w:sz w:val="24"/>
        </w:rPr>
      </w:pPr>
      <w:r>
        <w:rPr>
          <w:rFonts w:hint="eastAsia" w:ascii="宋体" w:hAnsi="宋体"/>
          <w:sz w:val="24"/>
        </w:rPr>
        <w:t>1. ★现场技术培训：提供不限人数3次以上免费现场技术培训。</w:t>
      </w:r>
    </w:p>
    <w:p>
      <w:pPr>
        <w:pStyle w:val="28"/>
        <w:spacing w:after="62" w:afterLines="20" w:line="360" w:lineRule="exact"/>
        <w:ind w:firstLine="0" w:firstLineChars="0"/>
        <w:rPr>
          <w:rFonts w:ascii="宋体" w:hAnsi="宋体"/>
          <w:color w:val="000000"/>
          <w:spacing w:val="-1"/>
          <w:sz w:val="24"/>
          <w:szCs w:val="24"/>
        </w:rPr>
      </w:pPr>
      <w:r>
        <w:rPr>
          <w:rFonts w:hint="eastAsia" w:ascii="宋体" w:hAnsi="宋体"/>
          <w:sz w:val="24"/>
        </w:rPr>
        <w:t>2</w:t>
      </w:r>
      <w:r>
        <w:rPr>
          <w:rFonts w:ascii="宋体" w:hAnsi="宋体"/>
          <w:sz w:val="24"/>
        </w:rPr>
        <w:t xml:space="preserve">. </w:t>
      </w:r>
      <w:r>
        <w:rPr>
          <w:rFonts w:hint="eastAsia" w:ascii="宋体" w:hAnsi="宋体"/>
          <w:sz w:val="24"/>
        </w:rPr>
        <w:t>★</w:t>
      </w:r>
      <w:r>
        <w:rPr>
          <w:rFonts w:hint="eastAsia" w:ascii="宋体" w:hAnsi="宋体"/>
          <w:color w:val="000000"/>
          <w:spacing w:val="-1"/>
          <w:sz w:val="24"/>
          <w:szCs w:val="24"/>
        </w:rPr>
        <w:t>需提供针对设备运维附送不低于1人次（一周）的原厂技术培训名额。</w:t>
      </w:r>
    </w:p>
    <w:p>
      <w:pPr>
        <w:spacing w:before="312" w:beforeLines="100"/>
        <w:rPr>
          <w:b/>
          <w:sz w:val="24"/>
        </w:rPr>
      </w:pPr>
      <w:r>
        <w:rPr>
          <w:rFonts w:hint="eastAsia" w:ascii="宋体" w:hAnsi="宋体"/>
          <w:b/>
          <w:sz w:val="24"/>
        </w:rPr>
        <w:t>十六、质</w:t>
      </w:r>
      <w:r>
        <w:rPr>
          <w:rFonts w:hint="eastAsia"/>
          <w:b/>
          <w:sz w:val="24"/>
        </w:rPr>
        <w:t>保期要求</w:t>
      </w:r>
      <w:r>
        <w:rPr>
          <w:rFonts w:hint="eastAsia" w:ascii="宋体" w:hAnsi="宋体"/>
          <w:b/>
          <w:sz w:val="24"/>
        </w:rPr>
        <w:t>（以下★为必须满足项）</w:t>
      </w:r>
    </w:p>
    <w:p>
      <w:pPr>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★U</w:t>
      </w:r>
      <w:r>
        <w:rPr>
          <w:rFonts w:ascii="宋体" w:hAnsi="宋体"/>
          <w:sz w:val="24"/>
        </w:rPr>
        <w:t xml:space="preserve">PS </w:t>
      </w:r>
      <w:r>
        <w:rPr>
          <w:rFonts w:hint="eastAsia" w:ascii="宋体" w:hAnsi="宋体"/>
          <w:sz w:val="24"/>
        </w:rPr>
        <w:t>3年原厂质保</w:t>
      </w:r>
    </w:p>
    <w:p>
      <w:pPr>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★U</w:t>
      </w:r>
      <w:r>
        <w:rPr>
          <w:rFonts w:ascii="宋体" w:hAnsi="宋体"/>
          <w:sz w:val="24"/>
        </w:rPr>
        <w:t>PS</w:t>
      </w:r>
      <w:r>
        <w:rPr>
          <w:rFonts w:hint="eastAsia" w:ascii="宋体" w:hAnsi="宋体"/>
          <w:sz w:val="24"/>
        </w:rPr>
        <w:t>系统输入/静态旁路柜3年质保</w:t>
      </w:r>
    </w:p>
    <w:p>
      <w:pPr>
        <w:rPr>
          <w:rFonts w:ascii="宋体" w:hAnsi="宋体"/>
          <w:sz w:val="24"/>
        </w:rPr>
      </w:pPr>
      <w:r>
        <w:rPr>
          <w:rFonts w:hint="eastAsia" w:ascii="宋体" w:hAnsi="宋体"/>
          <w:sz w:val="24"/>
        </w:rPr>
        <w:t>3</w:t>
      </w:r>
      <w:r>
        <w:rPr>
          <w:rFonts w:ascii="宋体" w:hAnsi="宋体"/>
          <w:sz w:val="24"/>
        </w:rPr>
        <w:t xml:space="preserve">. </w:t>
      </w:r>
      <w:r>
        <w:rPr>
          <w:rFonts w:hint="eastAsia" w:ascii="宋体" w:hAnsi="宋体"/>
          <w:sz w:val="24"/>
        </w:rPr>
        <w:t>★UPS 智能输出配电柜及手动维护旁路3年质保</w:t>
      </w:r>
    </w:p>
    <w:p>
      <w:pPr>
        <w:rPr>
          <w:rFonts w:ascii="宋体" w:hAnsi="宋体"/>
          <w:sz w:val="24"/>
        </w:rPr>
      </w:pPr>
      <w:r>
        <w:rPr>
          <w:rFonts w:hint="eastAsia" w:ascii="宋体" w:hAnsi="宋体"/>
          <w:sz w:val="24"/>
        </w:rPr>
        <w:t>4. ★U</w:t>
      </w:r>
      <w:r>
        <w:rPr>
          <w:rFonts w:ascii="宋体" w:hAnsi="宋体"/>
          <w:sz w:val="24"/>
        </w:rPr>
        <w:t>PS</w:t>
      </w:r>
      <w:r>
        <w:rPr>
          <w:rFonts w:hint="eastAsia" w:ascii="宋体" w:hAnsi="宋体"/>
          <w:sz w:val="24"/>
        </w:rPr>
        <w:t>旁路柜3年质保</w:t>
      </w:r>
    </w:p>
    <w:p>
      <w:pPr>
        <w:rPr>
          <w:rFonts w:ascii="宋体" w:hAnsi="宋体"/>
          <w:sz w:val="24"/>
        </w:rPr>
      </w:pPr>
      <w:r>
        <w:rPr>
          <w:rFonts w:hint="eastAsia" w:ascii="宋体" w:hAnsi="宋体"/>
          <w:sz w:val="24"/>
        </w:rPr>
        <w:t>5. ★UPS电池保护开关柜3年质保</w:t>
      </w:r>
    </w:p>
    <w:p>
      <w:pPr>
        <w:rPr>
          <w:rFonts w:ascii="宋体" w:hAnsi="宋体"/>
          <w:sz w:val="24"/>
        </w:rPr>
      </w:pPr>
      <w:r>
        <w:rPr>
          <w:rFonts w:hint="eastAsia" w:ascii="宋体" w:hAnsi="宋体"/>
          <w:sz w:val="24"/>
        </w:rPr>
        <w:t>6. ★电池3年原厂质保</w:t>
      </w:r>
    </w:p>
    <w:p>
      <w:pPr>
        <w:rPr>
          <w:rFonts w:ascii="宋体" w:hAnsi="宋体"/>
          <w:b/>
          <w:sz w:val="24"/>
        </w:rPr>
      </w:pPr>
      <w:r>
        <w:rPr>
          <w:rFonts w:hint="eastAsia"/>
          <w:sz w:val="24"/>
        </w:rPr>
        <w:t xml:space="preserve">                                                                                                                                                                                                                              </w:t>
      </w:r>
    </w:p>
    <w:sectPr>
      <w:footerReference r:id="rId3" w:type="default"/>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roman"/>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Helvetica Neue">
    <w:altName w:val="Sylfaen"/>
    <w:panose1 w:val="00000000000000000000"/>
    <w:charset w:val="00"/>
    <w:family w:val="auto"/>
    <w:pitch w:val="default"/>
    <w:sig w:usb0="00000000" w:usb1="00000000" w:usb2="00000010" w:usb3="00000000" w:csb0="00000000" w:csb1="00000000"/>
  </w:font>
  <w:font w:name="Courier New">
    <w:panose1 w:val="02070309020205020404"/>
    <w:charset w:val="00"/>
    <w:family w:val="modern"/>
    <w:pitch w:val="default"/>
    <w:sig w:usb0="E0002EFF" w:usb1="C0007843" w:usb2="00000009" w:usb3="00000000" w:csb0="400001FF" w:csb1="FFFF0000"/>
  </w:font>
  <w:font w:name="方正黑体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MS Mincho">
    <w:panose1 w:val="02020609040205080304"/>
    <w:charset w:val="80"/>
    <w:family w:val="roman"/>
    <w:pitch w:val="default"/>
    <w:sig w:usb0="A00002BF" w:usb1="68C7FCFB" w:usb2="00000010"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88589429"/>
    </w:sdtPr>
    <w:sdtContent>
      <w:sdt>
        <w:sdtPr>
          <w:id w:val="-1669238322"/>
        </w:sdtPr>
        <w:sdtContent>
          <w:p>
            <w:pPr>
              <w:pStyle w:val="6"/>
              <w:jc w:val="center"/>
            </w:pP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10</w:t>
            </w:r>
            <w:r>
              <w:rPr>
                <w:b/>
                <w:bCs/>
                <w:sz w:val="24"/>
                <w:szCs w:val="24"/>
              </w:rPr>
              <w:fldChar w:fldCharType="end"/>
            </w:r>
          </w:p>
        </w:sdtContent>
      </w:sdt>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5C0F56"/>
    <w:multiLevelType w:val="multilevel"/>
    <w:tmpl w:val="2C5C0F56"/>
    <w:lvl w:ilvl="0" w:tentative="0">
      <w:start w:val="1"/>
      <w:numFmt w:val="decimal"/>
      <w:lvlText w:val="%1、"/>
      <w:lvlJc w:val="left"/>
      <w:pPr>
        <w:ind w:left="360" w:hanging="36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131"/>
    <w:rsid w:val="00000A6A"/>
    <w:rsid w:val="000048A5"/>
    <w:rsid w:val="00011F73"/>
    <w:rsid w:val="0001309A"/>
    <w:rsid w:val="00015C8B"/>
    <w:rsid w:val="0002066E"/>
    <w:rsid w:val="00030824"/>
    <w:rsid w:val="000312C6"/>
    <w:rsid w:val="00031A42"/>
    <w:rsid w:val="00032CE2"/>
    <w:rsid w:val="00037DA5"/>
    <w:rsid w:val="0004247E"/>
    <w:rsid w:val="00042A90"/>
    <w:rsid w:val="000434D4"/>
    <w:rsid w:val="00047AB6"/>
    <w:rsid w:val="0005658E"/>
    <w:rsid w:val="000664A2"/>
    <w:rsid w:val="0007069F"/>
    <w:rsid w:val="000735C0"/>
    <w:rsid w:val="00073FA4"/>
    <w:rsid w:val="00076808"/>
    <w:rsid w:val="00082D0F"/>
    <w:rsid w:val="0008494D"/>
    <w:rsid w:val="00086506"/>
    <w:rsid w:val="00086509"/>
    <w:rsid w:val="00086DD4"/>
    <w:rsid w:val="000912D1"/>
    <w:rsid w:val="000A1265"/>
    <w:rsid w:val="000A2042"/>
    <w:rsid w:val="000A6718"/>
    <w:rsid w:val="000A76E1"/>
    <w:rsid w:val="000B08CF"/>
    <w:rsid w:val="000B1C8C"/>
    <w:rsid w:val="000B4192"/>
    <w:rsid w:val="000D0B49"/>
    <w:rsid w:val="000D1838"/>
    <w:rsid w:val="000D2D71"/>
    <w:rsid w:val="000D2DB9"/>
    <w:rsid w:val="000D3D87"/>
    <w:rsid w:val="000D4280"/>
    <w:rsid w:val="000D7D70"/>
    <w:rsid w:val="000E54C8"/>
    <w:rsid w:val="000E5571"/>
    <w:rsid w:val="000E5C61"/>
    <w:rsid w:val="000F7223"/>
    <w:rsid w:val="00102525"/>
    <w:rsid w:val="001042A0"/>
    <w:rsid w:val="00104DEA"/>
    <w:rsid w:val="0012207D"/>
    <w:rsid w:val="0012666A"/>
    <w:rsid w:val="00132A33"/>
    <w:rsid w:val="001354F2"/>
    <w:rsid w:val="001428A9"/>
    <w:rsid w:val="00145D9F"/>
    <w:rsid w:val="00145ED5"/>
    <w:rsid w:val="00147FC1"/>
    <w:rsid w:val="0015605D"/>
    <w:rsid w:val="00160316"/>
    <w:rsid w:val="001607D2"/>
    <w:rsid w:val="001620DD"/>
    <w:rsid w:val="00162F36"/>
    <w:rsid w:val="00164C55"/>
    <w:rsid w:val="00165B74"/>
    <w:rsid w:val="001725B4"/>
    <w:rsid w:val="00174186"/>
    <w:rsid w:val="00180DBF"/>
    <w:rsid w:val="00183A0D"/>
    <w:rsid w:val="00186536"/>
    <w:rsid w:val="00187852"/>
    <w:rsid w:val="00187A9E"/>
    <w:rsid w:val="001906E3"/>
    <w:rsid w:val="00190CC7"/>
    <w:rsid w:val="00196D60"/>
    <w:rsid w:val="0019734C"/>
    <w:rsid w:val="001A244E"/>
    <w:rsid w:val="001A34ED"/>
    <w:rsid w:val="001A37E8"/>
    <w:rsid w:val="001A4605"/>
    <w:rsid w:val="001A57CA"/>
    <w:rsid w:val="001A6A8D"/>
    <w:rsid w:val="001A7A22"/>
    <w:rsid w:val="001A7B67"/>
    <w:rsid w:val="001B0536"/>
    <w:rsid w:val="001B225D"/>
    <w:rsid w:val="001B2870"/>
    <w:rsid w:val="001B3B26"/>
    <w:rsid w:val="001B460B"/>
    <w:rsid w:val="001C2314"/>
    <w:rsid w:val="001C6096"/>
    <w:rsid w:val="001C60D2"/>
    <w:rsid w:val="001D005B"/>
    <w:rsid w:val="001D07B0"/>
    <w:rsid w:val="001D137E"/>
    <w:rsid w:val="001D3045"/>
    <w:rsid w:val="001E02A8"/>
    <w:rsid w:val="001E32E3"/>
    <w:rsid w:val="001E47B6"/>
    <w:rsid w:val="001E509A"/>
    <w:rsid w:val="001F2FFA"/>
    <w:rsid w:val="001F3273"/>
    <w:rsid w:val="001F4041"/>
    <w:rsid w:val="001F6B52"/>
    <w:rsid w:val="00200F42"/>
    <w:rsid w:val="00212ABD"/>
    <w:rsid w:val="00214C5E"/>
    <w:rsid w:val="00220487"/>
    <w:rsid w:val="00220FA1"/>
    <w:rsid w:val="00224709"/>
    <w:rsid w:val="00227957"/>
    <w:rsid w:val="0023231F"/>
    <w:rsid w:val="00232895"/>
    <w:rsid w:val="00233877"/>
    <w:rsid w:val="00233C03"/>
    <w:rsid w:val="002439BA"/>
    <w:rsid w:val="00253D58"/>
    <w:rsid w:val="00254328"/>
    <w:rsid w:val="00255881"/>
    <w:rsid w:val="00257CEC"/>
    <w:rsid w:val="0026319F"/>
    <w:rsid w:val="0027047F"/>
    <w:rsid w:val="0027312B"/>
    <w:rsid w:val="00274AFD"/>
    <w:rsid w:val="00281EA3"/>
    <w:rsid w:val="002839D5"/>
    <w:rsid w:val="00283CDD"/>
    <w:rsid w:val="00286A74"/>
    <w:rsid w:val="00286CD0"/>
    <w:rsid w:val="002906B8"/>
    <w:rsid w:val="00294F7B"/>
    <w:rsid w:val="002A0DBE"/>
    <w:rsid w:val="002B2217"/>
    <w:rsid w:val="002B32BA"/>
    <w:rsid w:val="002B3481"/>
    <w:rsid w:val="002B413D"/>
    <w:rsid w:val="002B4C5A"/>
    <w:rsid w:val="002B6869"/>
    <w:rsid w:val="002B7F2E"/>
    <w:rsid w:val="002D16F5"/>
    <w:rsid w:val="002D5604"/>
    <w:rsid w:val="002E00BA"/>
    <w:rsid w:val="002F00B1"/>
    <w:rsid w:val="002F2005"/>
    <w:rsid w:val="002F2310"/>
    <w:rsid w:val="002F4CCD"/>
    <w:rsid w:val="002F5EB0"/>
    <w:rsid w:val="00300357"/>
    <w:rsid w:val="00300A86"/>
    <w:rsid w:val="003021E4"/>
    <w:rsid w:val="0030522F"/>
    <w:rsid w:val="00312A24"/>
    <w:rsid w:val="00312F45"/>
    <w:rsid w:val="00314244"/>
    <w:rsid w:val="00320854"/>
    <w:rsid w:val="003219B1"/>
    <w:rsid w:val="00321CE5"/>
    <w:rsid w:val="003225C2"/>
    <w:rsid w:val="00325A55"/>
    <w:rsid w:val="0032765F"/>
    <w:rsid w:val="003278A7"/>
    <w:rsid w:val="00330741"/>
    <w:rsid w:val="003327E8"/>
    <w:rsid w:val="00346C7B"/>
    <w:rsid w:val="0035575A"/>
    <w:rsid w:val="003604D0"/>
    <w:rsid w:val="00360AFB"/>
    <w:rsid w:val="003614B8"/>
    <w:rsid w:val="00362B77"/>
    <w:rsid w:val="00363414"/>
    <w:rsid w:val="00363C35"/>
    <w:rsid w:val="003640F6"/>
    <w:rsid w:val="003665A3"/>
    <w:rsid w:val="003666DF"/>
    <w:rsid w:val="00371797"/>
    <w:rsid w:val="0037295D"/>
    <w:rsid w:val="00383DB2"/>
    <w:rsid w:val="003867E8"/>
    <w:rsid w:val="00391BC3"/>
    <w:rsid w:val="00391DB8"/>
    <w:rsid w:val="0039371B"/>
    <w:rsid w:val="00393E25"/>
    <w:rsid w:val="003950B2"/>
    <w:rsid w:val="00397B3F"/>
    <w:rsid w:val="003A1B43"/>
    <w:rsid w:val="003A2B39"/>
    <w:rsid w:val="003A3F30"/>
    <w:rsid w:val="003A4F14"/>
    <w:rsid w:val="003A7B71"/>
    <w:rsid w:val="003B34A3"/>
    <w:rsid w:val="003B77F3"/>
    <w:rsid w:val="003B7856"/>
    <w:rsid w:val="003D0D60"/>
    <w:rsid w:val="003D71D5"/>
    <w:rsid w:val="003E487A"/>
    <w:rsid w:val="003F0809"/>
    <w:rsid w:val="003F0D36"/>
    <w:rsid w:val="003F2D07"/>
    <w:rsid w:val="003F3A9E"/>
    <w:rsid w:val="003F3C8C"/>
    <w:rsid w:val="0040267B"/>
    <w:rsid w:val="004030B2"/>
    <w:rsid w:val="004062E0"/>
    <w:rsid w:val="00412460"/>
    <w:rsid w:val="004141A4"/>
    <w:rsid w:val="004205A7"/>
    <w:rsid w:val="004211D7"/>
    <w:rsid w:val="00421E11"/>
    <w:rsid w:val="0042473F"/>
    <w:rsid w:val="00424B13"/>
    <w:rsid w:val="00427715"/>
    <w:rsid w:val="00430B4E"/>
    <w:rsid w:val="0043643C"/>
    <w:rsid w:val="00437BFD"/>
    <w:rsid w:val="00440325"/>
    <w:rsid w:val="00447149"/>
    <w:rsid w:val="004508CD"/>
    <w:rsid w:val="004519D6"/>
    <w:rsid w:val="00454F51"/>
    <w:rsid w:val="00455351"/>
    <w:rsid w:val="004553A6"/>
    <w:rsid w:val="00455CFD"/>
    <w:rsid w:val="00456793"/>
    <w:rsid w:val="00461E9A"/>
    <w:rsid w:val="0046311B"/>
    <w:rsid w:val="004636D9"/>
    <w:rsid w:val="0046390B"/>
    <w:rsid w:val="004644BB"/>
    <w:rsid w:val="00465538"/>
    <w:rsid w:val="00473B7C"/>
    <w:rsid w:val="004755EE"/>
    <w:rsid w:val="00477BDF"/>
    <w:rsid w:val="00480D76"/>
    <w:rsid w:val="00481E59"/>
    <w:rsid w:val="00484AD2"/>
    <w:rsid w:val="00485384"/>
    <w:rsid w:val="0048723D"/>
    <w:rsid w:val="004948AF"/>
    <w:rsid w:val="0049736D"/>
    <w:rsid w:val="004A1148"/>
    <w:rsid w:val="004A1547"/>
    <w:rsid w:val="004A5F07"/>
    <w:rsid w:val="004B3856"/>
    <w:rsid w:val="004B6CBA"/>
    <w:rsid w:val="004C24A8"/>
    <w:rsid w:val="004D0783"/>
    <w:rsid w:val="004D0D82"/>
    <w:rsid w:val="004D4ED6"/>
    <w:rsid w:val="004D6C7F"/>
    <w:rsid w:val="004E0F8F"/>
    <w:rsid w:val="004E2A2E"/>
    <w:rsid w:val="004E3EAA"/>
    <w:rsid w:val="004E4B96"/>
    <w:rsid w:val="004E7838"/>
    <w:rsid w:val="004F2249"/>
    <w:rsid w:val="004F453C"/>
    <w:rsid w:val="004F57FE"/>
    <w:rsid w:val="004F71DE"/>
    <w:rsid w:val="00500594"/>
    <w:rsid w:val="005105A9"/>
    <w:rsid w:val="00512E9C"/>
    <w:rsid w:val="00516415"/>
    <w:rsid w:val="00521C76"/>
    <w:rsid w:val="00523597"/>
    <w:rsid w:val="0053017F"/>
    <w:rsid w:val="005355D4"/>
    <w:rsid w:val="00537DDB"/>
    <w:rsid w:val="00541444"/>
    <w:rsid w:val="00541CDF"/>
    <w:rsid w:val="00545719"/>
    <w:rsid w:val="005467BD"/>
    <w:rsid w:val="005507E8"/>
    <w:rsid w:val="005551C2"/>
    <w:rsid w:val="00556F3A"/>
    <w:rsid w:val="00556F40"/>
    <w:rsid w:val="00560766"/>
    <w:rsid w:val="005628CA"/>
    <w:rsid w:val="0056469C"/>
    <w:rsid w:val="00565058"/>
    <w:rsid w:val="00574D4E"/>
    <w:rsid w:val="0057501A"/>
    <w:rsid w:val="005821EE"/>
    <w:rsid w:val="005838FB"/>
    <w:rsid w:val="00583F3E"/>
    <w:rsid w:val="0059050D"/>
    <w:rsid w:val="00591570"/>
    <w:rsid w:val="00592854"/>
    <w:rsid w:val="0059319C"/>
    <w:rsid w:val="0059550D"/>
    <w:rsid w:val="005A5AA5"/>
    <w:rsid w:val="005B763E"/>
    <w:rsid w:val="005B7DA6"/>
    <w:rsid w:val="005C2157"/>
    <w:rsid w:val="005C2A2A"/>
    <w:rsid w:val="005C321C"/>
    <w:rsid w:val="005C362A"/>
    <w:rsid w:val="005C5FBB"/>
    <w:rsid w:val="005D1CE3"/>
    <w:rsid w:val="005D4487"/>
    <w:rsid w:val="005E0051"/>
    <w:rsid w:val="005E44C5"/>
    <w:rsid w:val="005E6936"/>
    <w:rsid w:val="005E6980"/>
    <w:rsid w:val="005F430F"/>
    <w:rsid w:val="005F49F6"/>
    <w:rsid w:val="005F5916"/>
    <w:rsid w:val="00601DBD"/>
    <w:rsid w:val="00601DC9"/>
    <w:rsid w:val="00603255"/>
    <w:rsid w:val="00604B85"/>
    <w:rsid w:val="006051E6"/>
    <w:rsid w:val="00605458"/>
    <w:rsid w:val="0061060C"/>
    <w:rsid w:val="00612B53"/>
    <w:rsid w:val="0061718F"/>
    <w:rsid w:val="00617CCB"/>
    <w:rsid w:val="00621807"/>
    <w:rsid w:val="00624ED0"/>
    <w:rsid w:val="00631131"/>
    <w:rsid w:val="0064200C"/>
    <w:rsid w:val="006439F1"/>
    <w:rsid w:val="006447F6"/>
    <w:rsid w:val="0064706D"/>
    <w:rsid w:val="0064783A"/>
    <w:rsid w:val="00653D8E"/>
    <w:rsid w:val="00655090"/>
    <w:rsid w:val="00655D6C"/>
    <w:rsid w:val="00655F0B"/>
    <w:rsid w:val="00660DEE"/>
    <w:rsid w:val="0066351D"/>
    <w:rsid w:val="00665D45"/>
    <w:rsid w:val="00670C68"/>
    <w:rsid w:val="00672A44"/>
    <w:rsid w:val="006838F3"/>
    <w:rsid w:val="006861C7"/>
    <w:rsid w:val="00693EBB"/>
    <w:rsid w:val="006955AD"/>
    <w:rsid w:val="00696394"/>
    <w:rsid w:val="00696C90"/>
    <w:rsid w:val="006A2DEF"/>
    <w:rsid w:val="006A2FC6"/>
    <w:rsid w:val="006A3816"/>
    <w:rsid w:val="006A398B"/>
    <w:rsid w:val="006A5DF7"/>
    <w:rsid w:val="006A654B"/>
    <w:rsid w:val="006A6622"/>
    <w:rsid w:val="006A6A17"/>
    <w:rsid w:val="006B3B35"/>
    <w:rsid w:val="006B4614"/>
    <w:rsid w:val="006B53DA"/>
    <w:rsid w:val="006B6F6A"/>
    <w:rsid w:val="006B753F"/>
    <w:rsid w:val="006C0FE4"/>
    <w:rsid w:val="006C1357"/>
    <w:rsid w:val="006C1C8D"/>
    <w:rsid w:val="006C2075"/>
    <w:rsid w:val="006C3FD8"/>
    <w:rsid w:val="006C61F2"/>
    <w:rsid w:val="006C653F"/>
    <w:rsid w:val="006C6F78"/>
    <w:rsid w:val="006D327C"/>
    <w:rsid w:val="006D448A"/>
    <w:rsid w:val="006D6BBD"/>
    <w:rsid w:val="006E4DDB"/>
    <w:rsid w:val="006F42B7"/>
    <w:rsid w:val="006F4831"/>
    <w:rsid w:val="007020A7"/>
    <w:rsid w:val="00705AC8"/>
    <w:rsid w:val="00713193"/>
    <w:rsid w:val="00714382"/>
    <w:rsid w:val="00723F48"/>
    <w:rsid w:val="007301DF"/>
    <w:rsid w:val="007408DA"/>
    <w:rsid w:val="00741E8B"/>
    <w:rsid w:val="00743158"/>
    <w:rsid w:val="00752895"/>
    <w:rsid w:val="00752DFA"/>
    <w:rsid w:val="0076010A"/>
    <w:rsid w:val="00761585"/>
    <w:rsid w:val="00762139"/>
    <w:rsid w:val="0076337F"/>
    <w:rsid w:val="0076353E"/>
    <w:rsid w:val="007646E5"/>
    <w:rsid w:val="007814FD"/>
    <w:rsid w:val="00785760"/>
    <w:rsid w:val="00787BED"/>
    <w:rsid w:val="0079042D"/>
    <w:rsid w:val="007925B8"/>
    <w:rsid w:val="007A0446"/>
    <w:rsid w:val="007A229D"/>
    <w:rsid w:val="007A44B7"/>
    <w:rsid w:val="007A7C79"/>
    <w:rsid w:val="007B1C94"/>
    <w:rsid w:val="007B3030"/>
    <w:rsid w:val="007B4402"/>
    <w:rsid w:val="007B53F1"/>
    <w:rsid w:val="007C005B"/>
    <w:rsid w:val="007C1011"/>
    <w:rsid w:val="007C2AEC"/>
    <w:rsid w:val="007D28E0"/>
    <w:rsid w:val="007D6007"/>
    <w:rsid w:val="007E052B"/>
    <w:rsid w:val="007E0895"/>
    <w:rsid w:val="007E09E8"/>
    <w:rsid w:val="007E2A61"/>
    <w:rsid w:val="007E2BF5"/>
    <w:rsid w:val="007E31CD"/>
    <w:rsid w:val="007E5846"/>
    <w:rsid w:val="007E5F76"/>
    <w:rsid w:val="007F1A12"/>
    <w:rsid w:val="007F43A8"/>
    <w:rsid w:val="007F552F"/>
    <w:rsid w:val="007F6BE2"/>
    <w:rsid w:val="007F6C08"/>
    <w:rsid w:val="007F6C53"/>
    <w:rsid w:val="00802633"/>
    <w:rsid w:val="00805A25"/>
    <w:rsid w:val="00806377"/>
    <w:rsid w:val="00806459"/>
    <w:rsid w:val="008104D8"/>
    <w:rsid w:val="008207B5"/>
    <w:rsid w:val="0082108F"/>
    <w:rsid w:val="00833E2E"/>
    <w:rsid w:val="00843E50"/>
    <w:rsid w:val="008477AE"/>
    <w:rsid w:val="0085059E"/>
    <w:rsid w:val="00850871"/>
    <w:rsid w:val="00852D3A"/>
    <w:rsid w:val="00853A9F"/>
    <w:rsid w:val="00854A18"/>
    <w:rsid w:val="00857601"/>
    <w:rsid w:val="008603BB"/>
    <w:rsid w:val="00867353"/>
    <w:rsid w:val="008701E6"/>
    <w:rsid w:val="0087031A"/>
    <w:rsid w:val="00870603"/>
    <w:rsid w:val="00870D4B"/>
    <w:rsid w:val="00875250"/>
    <w:rsid w:val="008860A5"/>
    <w:rsid w:val="008861AB"/>
    <w:rsid w:val="00891230"/>
    <w:rsid w:val="008A0FDC"/>
    <w:rsid w:val="008A1437"/>
    <w:rsid w:val="008A1EB1"/>
    <w:rsid w:val="008A34E9"/>
    <w:rsid w:val="008B53CD"/>
    <w:rsid w:val="008C24FE"/>
    <w:rsid w:val="008D3852"/>
    <w:rsid w:val="008D5890"/>
    <w:rsid w:val="008E54CA"/>
    <w:rsid w:val="008E56EE"/>
    <w:rsid w:val="008E5B36"/>
    <w:rsid w:val="008F5C77"/>
    <w:rsid w:val="00900EEB"/>
    <w:rsid w:val="009059E9"/>
    <w:rsid w:val="00915A01"/>
    <w:rsid w:val="00915A81"/>
    <w:rsid w:val="009217B6"/>
    <w:rsid w:val="009235E2"/>
    <w:rsid w:val="00923CD3"/>
    <w:rsid w:val="00927FA9"/>
    <w:rsid w:val="00930EB0"/>
    <w:rsid w:val="00933034"/>
    <w:rsid w:val="0093534C"/>
    <w:rsid w:val="0093539F"/>
    <w:rsid w:val="009365BD"/>
    <w:rsid w:val="0093789B"/>
    <w:rsid w:val="009519A9"/>
    <w:rsid w:val="0095755B"/>
    <w:rsid w:val="00957906"/>
    <w:rsid w:val="0096153A"/>
    <w:rsid w:val="00962CD1"/>
    <w:rsid w:val="00967605"/>
    <w:rsid w:val="0097555A"/>
    <w:rsid w:val="0097604E"/>
    <w:rsid w:val="00980F6B"/>
    <w:rsid w:val="00983558"/>
    <w:rsid w:val="00987E33"/>
    <w:rsid w:val="0099047D"/>
    <w:rsid w:val="0099051F"/>
    <w:rsid w:val="009908E2"/>
    <w:rsid w:val="0099158C"/>
    <w:rsid w:val="009A3C3A"/>
    <w:rsid w:val="009A41A8"/>
    <w:rsid w:val="009A4695"/>
    <w:rsid w:val="009B759D"/>
    <w:rsid w:val="009C433D"/>
    <w:rsid w:val="009C4AED"/>
    <w:rsid w:val="009C5105"/>
    <w:rsid w:val="009C64E0"/>
    <w:rsid w:val="009D56FE"/>
    <w:rsid w:val="009E311C"/>
    <w:rsid w:val="009E5D8E"/>
    <w:rsid w:val="009F230B"/>
    <w:rsid w:val="009F484D"/>
    <w:rsid w:val="009F5148"/>
    <w:rsid w:val="00A00972"/>
    <w:rsid w:val="00A04B54"/>
    <w:rsid w:val="00A10295"/>
    <w:rsid w:val="00A1136E"/>
    <w:rsid w:val="00A157FF"/>
    <w:rsid w:val="00A17DBD"/>
    <w:rsid w:val="00A201BB"/>
    <w:rsid w:val="00A27C44"/>
    <w:rsid w:val="00A34122"/>
    <w:rsid w:val="00A41D84"/>
    <w:rsid w:val="00A43115"/>
    <w:rsid w:val="00A45456"/>
    <w:rsid w:val="00A46FFE"/>
    <w:rsid w:val="00A509A7"/>
    <w:rsid w:val="00A54AEE"/>
    <w:rsid w:val="00A54E4D"/>
    <w:rsid w:val="00A563E5"/>
    <w:rsid w:val="00A56859"/>
    <w:rsid w:val="00A57121"/>
    <w:rsid w:val="00A61D46"/>
    <w:rsid w:val="00A64236"/>
    <w:rsid w:val="00A7284A"/>
    <w:rsid w:val="00A745FF"/>
    <w:rsid w:val="00A76FB4"/>
    <w:rsid w:val="00A802B5"/>
    <w:rsid w:val="00A86F07"/>
    <w:rsid w:val="00A902D9"/>
    <w:rsid w:val="00AB026E"/>
    <w:rsid w:val="00AB08F5"/>
    <w:rsid w:val="00AB5AEC"/>
    <w:rsid w:val="00AB6002"/>
    <w:rsid w:val="00AB6D9F"/>
    <w:rsid w:val="00AC5060"/>
    <w:rsid w:val="00AC5065"/>
    <w:rsid w:val="00AC536A"/>
    <w:rsid w:val="00AC7BE6"/>
    <w:rsid w:val="00AD0976"/>
    <w:rsid w:val="00AD3AD9"/>
    <w:rsid w:val="00AD471F"/>
    <w:rsid w:val="00AD7038"/>
    <w:rsid w:val="00AD71AB"/>
    <w:rsid w:val="00AD7E54"/>
    <w:rsid w:val="00AE02D0"/>
    <w:rsid w:val="00AE247F"/>
    <w:rsid w:val="00AE267A"/>
    <w:rsid w:val="00AE6585"/>
    <w:rsid w:val="00AF382C"/>
    <w:rsid w:val="00AF44C1"/>
    <w:rsid w:val="00AF702C"/>
    <w:rsid w:val="00B10E98"/>
    <w:rsid w:val="00B15419"/>
    <w:rsid w:val="00B20DFD"/>
    <w:rsid w:val="00B221A7"/>
    <w:rsid w:val="00B266B1"/>
    <w:rsid w:val="00B27BA8"/>
    <w:rsid w:val="00B35E45"/>
    <w:rsid w:val="00B36BFE"/>
    <w:rsid w:val="00B538DE"/>
    <w:rsid w:val="00B6063F"/>
    <w:rsid w:val="00B6354E"/>
    <w:rsid w:val="00B70679"/>
    <w:rsid w:val="00B7388D"/>
    <w:rsid w:val="00B77DA2"/>
    <w:rsid w:val="00B815DE"/>
    <w:rsid w:val="00B838BB"/>
    <w:rsid w:val="00B8496C"/>
    <w:rsid w:val="00B92F54"/>
    <w:rsid w:val="00B971F0"/>
    <w:rsid w:val="00BA23B3"/>
    <w:rsid w:val="00BA2DDF"/>
    <w:rsid w:val="00BA3363"/>
    <w:rsid w:val="00BA4728"/>
    <w:rsid w:val="00BA7095"/>
    <w:rsid w:val="00BB5080"/>
    <w:rsid w:val="00BB5E74"/>
    <w:rsid w:val="00BB6407"/>
    <w:rsid w:val="00BC2754"/>
    <w:rsid w:val="00BC6C6B"/>
    <w:rsid w:val="00BC7098"/>
    <w:rsid w:val="00BD1428"/>
    <w:rsid w:val="00BD7094"/>
    <w:rsid w:val="00BE0B4B"/>
    <w:rsid w:val="00BE1328"/>
    <w:rsid w:val="00BE1867"/>
    <w:rsid w:val="00BE3933"/>
    <w:rsid w:val="00BE6C9C"/>
    <w:rsid w:val="00BF1EEE"/>
    <w:rsid w:val="00BF20F6"/>
    <w:rsid w:val="00BF481A"/>
    <w:rsid w:val="00BF4CBC"/>
    <w:rsid w:val="00BF4F30"/>
    <w:rsid w:val="00BF527E"/>
    <w:rsid w:val="00BF5C75"/>
    <w:rsid w:val="00C04620"/>
    <w:rsid w:val="00C10B12"/>
    <w:rsid w:val="00C22E0A"/>
    <w:rsid w:val="00C23DC2"/>
    <w:rsid w:val="00C26968"/>
    <w:rsid w:val="00C27DED"/>
    <w:rsid w:val="00C30499"/>
    <w:rsid w:val="00C31FDE"/>
    <w:rsid w:val="00C34553"/>
    <w:rsid w:val="00C3468A"/>
    <w:rsid w:val="00C34B6B"/>
    <w:rsid w:val="00C42E0D"/>
    <w:rsid w:val="00C44BF7"/>
    <w:rsid w:val="00C46F42"/>
    <w:rsid w:val="00C5025F"/>
    <w:rsid w:val="00C525B1"/>
    <w:rsid w:val="00C57562"/>
    <w:rsid w:val="00C57972"/>
    <w:rsid w:val="00C60566"/>
    <w:rsid w:val="00C676AF"/>
    <w:rsid w:val="00C70A97"/>
    <w:rsid w:val="00C727D3"/>
    <w:rsid w:val="00C73EF6"/>
    <w:rsid w:val="00C76521"/>
    <w:rsid w:val="00C82BA1"/>
    <w:rsid w:val="00C86182"/>
    <w:rsid w:val="00C86544"/>
    <w:rsid w:val="00C91084"/>
    <w:rsid w:val="00CB0C56"/>
    <w:rsid w:val="00CB1AE4"/>
    <w:rsid w:val="00CB35A8"/>
    <w:rsid w:val="00CB5B3B"/>
    <w:rsid w:val="00CB76E6"/>
    <w:rsid w:val="00CB7A49"/>
    <w:rsid w:val="00CC0D92"/>
    <w:rsid w:val="00CC4BD5"/>
    <w:rsid w:val="00CC564F"/>
    <w:rsid w:val="00CD1509"/>
    <w:rsid w:val="00CD1FFF"/>
    <w:rsid w:val="00CE6535"/>
    <w:rsid w:val="00CE7635"/>
    <w:rsid w:val="00CF24F2"/>
    <w:rsid w:val="00CF51C3"/>
    <w:rsid w:val="00CF7070"/>
    <w:rsid w:val="00D016C1"/>
    <w:rsid w:val="00D034BC"/>
    <w:rsid w:val="00D043DA"/>
    <w:rsid w:val="00D04A4C"/>
    <w:rsid w:val="00D060BD"/>
    <w:rsid w:val="00D079A4"/>
    <w:rsid w:val="00D11079"/>
    <w:rsid w:val="00D16D8A"/>
    <w:rsid w:val="00D21220"/>
    <w:rsid w:val="00D23B19"/>
    <w:rsid w:val="00D25776"/>
    <w:rsid w:val="00D26A27"/>
    <w:rsid w:val="00D276CB"/>
    <w:rsid w:val="00D27C62"/>
    <w:rsid w:val="00D31789"/>
    <w:rsid w:val="00D33187"/>
    <w:rsid w:val="00D34694"/>
    <w:rsid w:val="00D414E6"/>
    <w:rsid w:val="00D41A1C"/>
    <w:rsid w:val="00D433FF"/>
    <w:rsid w:val="00D43C3E"/>
    <w:rsid w:val="00D4689D"/>
    <w:rsid w:val="00D50F97"/>
    <w:rsid w:val="00D5193E"/>
    <w:rsid w:val="00D53186"/>
    <w:rsid w:val="00D531FE"/>
    <w:rsid w:val="00D541E1"/>
    <w:rsid w:val="00D5683C"/>
    <w:rsid w:val="00D601BF"/>
    <w:rsid w:val="00D60C48"/>
    <w:rsid w:val="00D6226C"/>
    <w:rsid w:val="00D62499"/>
    <w:rsid w:val="00D6257F"/>
    <w:rsid w:val="00D64CAB"/>
    <w:rsid w:val="00D75788"/>
    <w:rsid w:val="00D75BC1"/>
    <w:rsid w:val="00D760D8"/>
    <w:rsid w:val="00D80A3F"/>
    <w:rsid w:val="00D84BBF"/>
    <w:rsid w:val="00D84E6A"/>
    <w:rsid w:val="00D85DFC"/>
    <w:rsid w:val="00D85F43"/>
    <w:rsid w:val="00D8605D"/>
    <w:rsid w:val="00D8776C"/>
    <w:rsid w:val="00D9104A"/>
    <w:rsid w:val="00D926A1"/>
    <w:rsid w:val="00D93BDD"/>
    <w:rsid w:val="00D969D0"/>
    <w:rsid w:val="00DA1116"/>
    <w:rsid w:val="00DB13E8"/>
    <w:rsid w:val="00DB20DE"/>
    <w:rsid w:val="00DB34A2"/>
    <w:rsid w:val="00DB57E4"/>
    <w:rsid w:val="00DC280B"/>
    <w:rsid w:val="00DC3293"/>
    <w:rsid w:val="00DC6862"/>
    <w:rsid w:val="00DD111E"/>
    <w:rsid w:val="00DD25CA"/>
    <w:rsid w:val="00DD5079"/>
    <w:rsid w:val="00DD6DBF"/>
    <w:rsid w:val="00DE2E4B"/>
    <w:rsid w:val="00DE2FD8"/>
    <w:rsid w:val="00DE3506"/>
    <w:rsid w:val="00DE6724"/>
    <w:rsid w:val="00DF122F"/>
    <w:rsid w:val="00DF7E11"/>
    <w:rsid w:val="00E016AF"/>
    <w:rsid w:val="00E01C70"/>
    <w:rsid w:val="00E04341"/>
    <w:rsid w:val="00E124E5"/>
    <w:rsid w:val="00E14673"/>
    <w:rsid w:val="00E14A30"/>
    <w:rsid w:val="00E1701C"/>
    <w:rsid w:val="00E25BF7"/>
    <w:rsid w:val="00E25EB2"/>
    <w:rsid w:val="00E26B32"/>
    <w:rsid w:val="00E35F7E"/>
    <w:rsid w:val="00E40365"/>
    <w:rsid w:val="00E41DC9"/>
    <w:rsid w:val="00E455E0"/>
    <w:rsid w:val="00E65CEF"/>
    <w:rsid w:val="00E7354B"/>
    <w:rsid w:val="00E75A37"/>
    <w:rsid w:val="00E76DF3"/>
    <w:rsid w:val="00E919F3"/>
    <w:rsid w:val="00E92DC4"/>
    <w:rsid w:val="00E9460D"/>
    <w:rsid w:val="00E94E25"/>
    <w:rsid w:val="00E97073"/>
    <w:rsid w:val="00EA02E4"/>
    <w:rsid w:val="00EA1485"/>
    <w:rsid w:val="00EA281C"/>
    <w:rsid w:val="00EA3264"/>
    <w:rsid w:val="00EA373B"/>
    <w:rsid w:val="00EB0A6E"/>
    <w:rsid w:val="00EB1E81"/>
    <w:rsid w:val="00EC00AB"/>
    <w:rsid w:val="00EC5158"/>
    <w:rsid w:val="00EC5D22"/>
    <w:rsid w:val="00EC77BB"/>
    <w:rsid w:val="00ED5DA0"/>
    <w:rsid w:val="00ED6876"/>
    <w:rsid w:val="00ED7661"/>
    <w:rsid w:val="00EE0D9F"/>
    <w:rsid w:val="00EE219F"/>
    <w:rsid w:val="00EE2498"/>
    <w:rsid w:val="00EE464C"/>
    <w:rsid w:val="00EF00C3"/>
    <w:rsid w:val="00EF6D22"/>
    <w:rsid w:val="00F07591"/>
    <w:rsid w:val="00F076C2"/>
    <w:rsid w:val="00F136C9"/>
    <w:rsid w:val="00F14D7B"/>
    <w:rsid w:val="00F212B3"/>
    <w:rsid w:val="00F2679F"/>
    <w:rsid w:val="00F35054"/>
    <w:rsid w:val="00F370EC"/>
    <w:rsid w:val="00F37C60"/>
    <w:rsid w:val="00F40051"/>
    <w:rsid w:val="00F47D95"/>
    <w:rsid w:val="00F52D72"/>
    <w:rsid w:val="00F55CAB"/>
    <w:rsid w:val="00F5789C"/>
    <w:rsid w:val="00F57A46"/>
    <w:rsid w:val="00F57CBD"/>
    <w:rsid w:val="00F61676"/>
    <w:rsid w:val="00F62489"/>
    <w:rsid w:val="00F63899"/>
    <w:rsid w:val="00F66A30"/>
    <w:rsid w:val="00F66A97"/>
    <w:rsid w:val="00F70810"/>
    <w:rsid w:val="00F71AE6"/>
    <w:rsid w:val="00F73A45"/>
    <w:rsid w:val="00F73AF7"/>
    <w:rsid w:val="00F80D90"/>
    <w:rsid w:val="00F81994"/>
    <w:rsid w:val="00F84CBE"/>
    <w:rsid w:val="00F873D9"/>
    <w:rsid w:val="00F879C1"/>
    <w:rsid w:val="00F917CF"/>
    <w:rsid w:val="00F952C3"/>
    <w:rsid w:val="00FA172D"/>
    <w:rsid w:val="00FA20F0"/>
    <w:rsid w:val="00FA2A81"/>
    <w:rsid w:val="00FA2E79"/>
    <w:rsid w:val="00FA4EF1"/>
    <w:rsid w:val="00FA539B"/>
    <w:rsid w:val="00FB0139"/>
    <w:rsid w:val="00FB06EE"/>
    <w:rsid w:val="00FB397E"/>
    <w:rsid w:val="00FB5359"/>
    <w:rsid w:val="00FB62CC"/>
    <w:rsid w:val="00FB7DDC"/>
    <w:rsid w:val="00FC6F59"/>
    <w:rsid w:val="00FE0B1D"/>
    <w:rsid w:val="00FE73CC"/>
    <w:rsid w:val="00FF0E73"/>
    <w:rsid w:val="00FF6154"/>
    <w:rsid w:val="162C3EC7"/>
    <w:rsid w:val="180349E2"/>
    <w:rsid w:val="1F79233A"/>
    <w:rsid w:val="30DA00B7"/>
    <w:rsid w:val="54F12F8D"/>
    <w:rsid w:val="5C6A1BDC"/>
    <w:rsid w:val="5D5D12B5"/>
    <w:rsid w:val="7795059C"/>
    <w:rsid w:val="7A5C5ED5"/>
    <w:rsid w:val="7C120D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20"/>
    <w:unhideWhenUsed/>
    <w:qFormat/>
    <w:uiPriority w:val="0"/>
    <w:pPr>
      <w:jc w:val="left"/>
    </w:pPr>
  </w:style>
  <w:style w:type="paragraph" w:styleId="3">
    <w:name w:val="Plain Text"/>
    <w:basedOn w:val="1"/>
    <w:link w:val="26"/>
    <w:uiPriority w:val="0"/>
    <w:pPr>
      <w:widowControl/>
      <w:jc w:val="left"/>
    </w:pPr>
    <w:rPr>
      <w:rFonts w:ascii="Courier New" w:hAnsi="Courier New"/>
      <w:kern w:val="0"/>
      <w:sz w:val="20"/>
      <w:szCs w:val="20"/>
      <w:lang w:eastAsia="en-US"/>
    </w:rPr>
  </w:style>
  <w:style w:type="paragraph" w:styleId="4">
    <w:name w:val="Date"/>
    <w:basedOn w:val="1"/>
    <w:next w:val="1"/>
    <w:link w:val="24"/>
    <w:semiHidden/>
    <w:unhideWhenUsed/>
    <w:uiPriority w:val="99"/>
  </w:style>
  <w:style w:type="paragraph" w:styleId="5">
    <w:name w:val="Balloon Text"/>
    <w:basedOn w:val="1"/>
    <w:link w:val="22"/>
    <w:semiHidden/>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uiPriority w:val="99"/>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link w:val="16"/>
    <w:qFormat/>
    <w:uiPriority w:val="0"/>
    <w:pPr>
      <w:adjustRightInd w:val="0"/>
      <w:spacing w:before="240" w:after="60" w:line="312" w:lineRule="atLeast"/>
      <w:jc w:val="center"/>
      <w:textAlignment w:val="baseline"/>
      <w:outlineLvl w:val="1"/>
    </w:pPr>
    <w:rPr>
      <w:rFonts w:ascii="Cambria" w:hAnsi="Cambria"/>
      <w:b/>
      <w:bCs/>
      <w:kern w:val="28"/>
      <w:sz w:val="32"/>
      <w:szCs w:val="32"/>
    </w:rPr>
  </w:style>
  <w:style w:type="paragraph" w:styleId="9">
    <w:name w:val="Body Text 2"/>
    <w:basedOn w:val="1"/>
    <w:link w:val="25"/>
    <w:uiPriority w:val="0"/>
    <w:pPr>
      <w:spacing w:after="120" w:line="480" w:lineRule="auto"/>
    </w:pPr>
    <w:rPr>
      <w:rFonts w:ascii="Times New Roman" w:hAnsi="Times New Roman"/>
      <w:szCs w:val="24"/>
    </w:rPr>
  </w:style>
  <w:style w:type="paragraph" w:styleId="10">
    <w:name w:val="annotation subject"/>
    <w:basedOn w:val="2"/>
    <w:next w:val="2"/>
    <w:link w:val="21"/>
    <w:semiHidden/>
    <w:unhideWhenUsed/>
    <w:qFormat/>
    <w:uiPriority w:val="99"/>
    <w:rPr>
      <w:b/>
      <w:bCs/>
    </w:rPr>
  </w:style>
  <w:style w:type="table" w:styleId="12">
    <w:name w:val="Table Grid"/>
    <w:basedOn w:val="11"/>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annotation reference"/>
    <w:basedOn w:val="13"/>
    <w:unhideWhenUsed/>
    <w:uiPriority w:val="0"/>
    <w:rPr>
      <w:sz w:val="21"/>
      <w:szCs w:val="21"/>
    </w:rPr>
  </w:style>
  <w:style w:type="paragraph" w:styleId="15">
    <w:name w:val="List Paragraph"/>
    <w:basedOn w:val="1"/>
    <w:qFormat/>
    <w:uiPriority w:val="34"/>
    <w:pPr>
      <w:ind w:firstLine="420" w:firstLineChars="200"/>
    </w:pPr>
  </w:style>
  <w:style w:type="character" w:customStyle="1" w:styleId="16">
    <w:name w:val="副标题 Char"/>
    <w:basedOn w:val="13"/>
    <w:link w:val="8"/>
    <w:qFormat/>
    <w:uiPriority w:val="0"/>
    <w:rPr>
      <w:rFonts w:ascii="Cambria" w:hAnsi="Cambria" w:eastAsia="宋体" w:cs="Times New Roman"/>
      <w:b/>
      <w:bCs/>
      <w:kern w:val="28"/>
      <w:sz w:val="32"/>
      <w:szCs w:val="32"/>
    </w:rPr>
  </w:style>
  <w:style w:type="character" w:customStyle="1" w:styleId="17">
    <w:name w:val="页眉 Char"/>
    <w:basedOn w:val="13"/>
    <w:link w:val="7"/>
    <w:uiPriority w:val="99"/>
    <w:rPr>
      <w:rFonts w:ascii="Calibri" w:hAnsi="Calibri" w:eastAsia="宋体" w:cs="Times New Roman"/>
      <w:sz w:val="18"/>
      <w:szCs w:val="18"/>
    </w:rPr>
  </w:style>
  <w:style w:type="character" w:customStyle="1" w:styleId="18">
    <w:name w:val="页脚 Char"/>
    <w:basedOn w:val="13"/>
    <w:link w:val="6"/>
    <w:qFormat/>
    <w:uiPriority w:val="99"/>
    <w:rPr>
      <w:rFonts w:ascii="Calibri" w:hAnsi="Calibri" w:eastAsia="宋体" w:cs="Times New Roman"/>
      <w:sz w:val="18"/>
      <w:szCs w:val="18"/>
    </w:rPr>
  </w:style>
  <w:style w:type="paragraph" w:customStyle="1" w:styleId="19">
    <w:name w:val="p0"/>
    <w:basedOn w:val="1"/>
    <w:uiPriority w:val="0"/>
    <w:pPr>
      <w:widowControl/>
    </w:pPr>
    <w:rPr>
      <w:rFonts w:cs="Calibri"/>
      <w:kern w:val="0"/>
      <w:szCs w:val="21"/>
    </w:rPr>
  </w:style>
  <w:style w:type="character" w:customStyle="1" w:styleId="20">
    <w:name w:val="批注文字 Char"/>
    <w:basedOn w:val="13"/>
    <w:link w:val="2"/>
    <w:semiHidden/>
    <w:qFormat/>
    <w:uiPriority w:val="99"/>
    <w:rPr>
      <w:rFonts w:ascii="Calibri" w:hAnsi="Calibri" w:eastAsia="宋体" w:cs="Times New Roman"/>
      <w:sz w:val="21"/>
      <w:szCs w:val="22"/>
    </w:rPr>
  </w:style>
  <w:style w:type="character" w:customStyle="1" w:styleId="21">
    <w:name w:val="批注主题 Char"/>
    <w:basedOn w:val="20"/>
    <w:link w:val="10"/>
    <w:semiHidden/>
    <w:qFormat/>
    <w:uiPriority w:val="99"/>
    <w:rPr>
      <w:rFonts w:ascii="Calibri" w:hAnsi="Calibri" w:eastAsia="宋体" w:cs="Times New Roman"/>
      <w:b/>
      <w:bCs/>
      <w:sz w:val="21"/>
      <w:szCs w:val="22"/>
    </w:rPr>
  </w:style>
  <w:style w:type="character" w:customStyle="1" w:styleId="22">
    <w:name w:val="批注框文本 Char"/>
    <w:basedOn w:val="13"/>
    <w:link w:val="5"/>
    <w:semiHidden/>
    <w:qFormat/>
    <w:uiPriority w:val="99"/>
    <w:rPr>
      <w:rFonts w:ascii="Calibri" w:hAnsi="Calibri" w:eastAsia="宋体" w:cs="Times New Roman"/>
      <w:sz w:val="18"/>
      <w:szCs w:val="18"/>
    </w:rPr>
  </w:style>
  <w:style w:type="paragraph" w:customStyle="1" w:styleId="23">
    <w:name w:val="p1"/>
    <w:basedOn w:val="1"/>
    <w:qFormat/>
    <w:uiPriority w:val="0"/>
    <w:pPr>
      <w:spacing w:line="380" w:lineRule="atLeast"/>
      <w:jc w:val="left"/>
    </w:pPr>
    <w:rPr>
      <w:rFonts w:ascii="Helvetica Neue" w:hAnsi="Helvetica Neue" w:eastAsia="Helvetica Neue"/>
      <w:color w:val="000000"/>
      <w:kern w:val="0"/>
      <w:sz w:val="26"/>
      <w:szCs w:val="26"/>
    </w:rPr>
  </w:style>
  <w:style w:type="character" w:customStyle="1" w:styleId="24">
    <w:name w:val="日期 Char"/>
    <w:basedOn w:val="13"/>
    <w:link w:val="4"/>
    <w:semiHidden/>
    <w:uiPriority w:val="99"/>
    <w:rPr>
      <w:rFonts w:ascii="Calibri" w:hAnsi="Calibri" w:eastAsia="宋体" w:cs="Times New Roman"/>
      <w:kern w:val="2"/>
      <w:sz w:val="21"/>
      <w:szCs w:val="22"/>
    </w:rPr>
  </w:style>
  <w:style w:type="character" w:customStyle="1" w:styleId="25">
    <w:name w:val="正文文本 2 Char"/>
    <w:basedOn w:val="13"/>
    <w:link w:val="9"/>
    <w:uiPriority w:val="0"/>
    <w:rPr>
      <w:rFonts w:ascii="Times New Roman" w:hAnsi="Times New Roman" w:eastAsia="宋体" w:cs="Times New Roman"/>
      <w:kern w:val="2"/>
      <w:sz w:val="21"/>
      <w:szCs w:val="24"/>
    </w:rPr>
  </w:style>
  <w:style w:type="character" w:customStyle="1" w:styleId="26">
    <w:name w:val="纯文本 Char"/>
    <w:basedOn w:val="13"/>
    <w:link w:val="3"/>
    <w:uiPriority w:val="0"/>
    <w:rPr>
      <w:rFonts w:ascii="Courier New" w:hAnsi="Courier New" w:eastAsia="宋体" w:cs="Times New Roman"/>
      <w:lang w:eastAsia="en-US"/>
    </w:rPr>
  </w:style>
  <w:style w:type="character" w:customStyle="1" w:styleId="27">
    <w:name w:val="Subtle Emphasis"/>
    <w:basedOn w:val="13"/>
    <w:qFormat/>
    <w:uiPriority w:val="19"/>
    <w:rPr>
      <w:i/>
      <w:iCs/>
      <w:color w:val="404040" w:themeColor="text1" w:themeTint="BF"/>
      <w14:textFill>
        <w14:solidFill>
          <w14:schemeClr w14:val="tx1">
            <w14:lumMod w14:val="75000"/>
            <w14:lumOff w14:val="25000"/>
          </w14:schemeClr>
        </w14:solidFill>
      </w14:textFill>
    </w:rPr>
  </w:style>
  <w:style w:type="paragraph" w:customStyle="1" w:styleId="28">
    <w:name w:val="列出段落1"/>
    <w:basedOn w:val="1"/>
    <w:qFormat/>
    <w:uiPriority w:val="0"/>
    <w:pPr>
      <w:spacing w:after="160" w:line="259" w:lineRule="auto"/>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黑体"/>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C1600F-8475-468B-95D9-AD23ED9852F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1447</Words>
  <Characters>8249</Characters>
  <Lines>68</Lines>
  <Paragraphs>19</Paragraphs>
  <TotalTime>992</TotalTime>
  <ScaleCrop>false</ScaleCrop>
  <LinksUpToDate>false</LinksUpToDate>
  <CharactersWithSpaces>9677</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2020-09-14T04:01:00Z</dcterms:created>
  <dc:creator>Microsoft Office 用户</dc:creator>
  <cp:lastModifiedBy>贾文江</cp:lastModifiedBy>
  <cp:lastPrinted>2020-03-18T11:08:00Z</cp:lastPrinted>
  <dcterms:modified xsi:type="dcterms:W3CDTF">2020-10-17T11:31:54Z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