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/>
          <w:color w:val="000000"/>
          <w:sz w:val="24"/>
          <w:szCs w:val="24"/>
        </w:rPr>
      </w:pPr>
      <w:bookmarkStart w:id="0" w:name="_Toc356466056"/>
      <w:bookmarkStart w:id="1" w:name="_Toc39049325"/>
      <w:bookmarkStart w:id="2" w:name="_Toc393382700"/>
      <w:bookmarkStart w:id="3" w:name="_Toc46910496"/>
      <w:bookmarkStart w:id="4" w:name="_Toc38975724"/>
      <w:bookmarkStart w:id="5" w:name="_Toc38956261"/>
      <w:bookmarkStart w:id="6" w:name="_Toc39048744"/>
      <w:bookmarkStart w:id="7" w:name="_Toc39049231"/>
      <w:bookmarkStart w:id="8" w:name="_Toc38975895"/>
      <w:bookmarkStart w:id="9" w:name="_Toc39049430"/>
      <w:bookmarkStart w:id="10" w:name="_Toc39048170"/>
      <w:bookmarkStart w:id="11" w:name="_Toc356466585"/>
      <w:bookmarkStart w:id="12" w:name="_Toc356466511"/>
      <w:bookmarkStart w:id="13" w:name="_Toc356465908"/>
      <w:bookmarkStart w:id="14" w:name="_Toc356542609"/>
      <w:r>
        <w:rPr>
          <w:rFonts w:hint="eastAsia" w:ascii="宋体" w:hAnsi="宋体"/>
          <w:color w:val="000000"/>
        </w:rPr>
        <w:t>潜油电泵</w:t>
      </w:r>
      <w:r>
        <w:rPr>
          <w:rFonts w:hint="eastAsia" w:ascii="宋体" w:hAnsi="宋体"/>
          <w:color w:val="000000"/>
          <w:lang w:eastAsia="zh-CN"/>
        </w:rPr>
        <w:t>专用</w:t>
      </w:r>
      <w:r>
        <w:rPr>
          <w:rFonts w:hint="eastAsia" w:ascii="宋体" w:hAnsi="宋体"/>
          <w:color w:val="000000"/>
        </w:rPr>
        <w:t>变压器采购技术要求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spacing w:line="400" w:lineRule="exac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1  范围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本要求规定了潜油电泵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专用</w:t>
      </w:r>
      <w:r>
        <w:rPr>
          <w:rFonts w:hint="eastAsia" w:ascii="宋体" w:hAnsi="宋体"/>
          <w:color w:val="000000"/>
          <w:sz w:val="24"/>
          <w:szCs w:val="24"/>
        </w:rPr>
        <w:t>变压器采购的技术要求、质量保证及进厂检验等规定。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本要求适用于潜油电泵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专用</w:t>
      </w:r>
      <w:bookmarkStart w:id="15" w:name="_GoBack"/>
      <w:bookmarkEnd w:id="15"/>
      <w:r>
        <w:rPr>
          <w:rFonts w:hint="eastAsia" w:ascii="宋体" w:hAnsi="宋体"/>
          <w:color w:val="000000"/>
          <w:sz w:val="24"/>
          <w:szCs w:val="24"/>
        </w:rPr>
        <w:t>变压器的采购。</w:t>
      </w:r>
    </w:p>
    <w:p>
      <w:pPr>
        <w:spacing w:line="400" w:lineRule="exac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2  规范性引用文件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GB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>1094.1</w:t>
      </w:r>
      <w:r>
        <w:rPr>
          <w:rFonts w:hint="eastAsia" w:ascii="宋体" w:hAnsi="宋体"/>
          <w:color w:val="000000"/>
          <w:sz w:val="24"/>
          <w:szCs w:val="24"/>
        </w:rPr>
        <w:t>-3     《电力变压器》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GB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>1094.</w:t>
      </w:r>
      <w:r>
        <w:rPr>
          <w:rFonts w:hint="eastAsia" w:ascii="宋体" w:hAnsi="宋体"/>
          <w:color w:val="000000"/>
          <w:sz w:val="24"/>
          <w:szCs w:val="24"/>
        </w:rPr>
        <w:t>5       《电力变压器》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</w:t>
      </w:r>
      <w:r>
        <w:rPr>
          <w:rStyle w:val="7"/>
          <w:rFonts w:hint="eastAsia" w:ascii="宋体" w:hAnsi="宋体"/>
          <w:b w:val="0"/>
          <w:color w:val="000000"/>
          <w:sz w:val="24"/>
          <w:szCs w:val="24"/>
        </w:rPr>
        <w:t>GB 6451</w:t>
      </w:r>
      <w:r>
        <w:rPr>
          <w:rFonts w:hint="eastAsia" w:ascii="宋体" w:hAnsi="宋体"/>
          <w:b/>
          <w:color w:val="000000"/>
          <w:sz w:val="24"/>
          <w:szCs w:val="24"/>
        </w:rPr>
        <w:t xml:space="preserve">         </w:t>
      </w:r>
      <w:r>
        <w:rPr>
          <w:rFonts w:hint="eastAsia" w:ascii="宋体" w:hAnsi="宋体"/>
          <w:color w:val="000000"/>
          <w:sz w:val="24"/>
          <w:szCs w:val="24"/>
        </w:rPr>
        <w:t>《油浸式电力变压器技术参数和要求》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GB/T 16750</w:t>
      </w:r>
      <w:r>
        <w:rPr>
          <w:rFonts w:hint="eastAsia" w:ascii="宋体" w:hAnsi="宋体"/>
          <w:color w:val="000000"/>
          <w:sz w:val="24"/>
          <w:szCs w:val="24"/>
        </w:rPr>
        <w:t xml:space="preserve">      </w:t>
      </w:r>
      <w:r>
        <w:rPr>
          <w:rFonts w:ascii="宋体" w:hAnsi="宋体"/>
          <w:color w:val="000000"/>
          <w:sz w:val="24"/>
          <w:szCs w:val="24"/>
        </w:rPr>
        <w:t>《潜油电泵机组》</w:t>
      </w:r>
    </w:p>
    <w:p>
      <w:pPr>
        <w:spacing w:line="400" w:lineRule="exac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3  技术要求</w:t>
      </w:r>
    </w:p>
    <w:p>
      <w:pPr>
        <w:spacing w:line="4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.1</w:t>
      </w:r>
      <w:r>
        <w:rPr>
          <w:rFonts w:hint="eastAsia" w:ascii="宋体" w:hAnsi="宋体"/>
          <w:color w:val="000000"/>
          <w:sz w:val="24"/>
          <w:szCs w:val="24"/>
        </w:rPr>
        <w:t xml:space="preserve">  表面光洁完好，无漏油现象。配压力释放阀、油标指示，变压器箱盖上应有供玻璃温度计用的管座。明显位置上应有“高压危险”警示标志，标志要求清楚、永久、易于识别。</w:t>
      </w:r>
    </w:p>
    <w:p>
      <w:pPr>
        <w:spacing w:line="4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 xml:space="preserve">.2  </w:t>
      </w:r>
      <w:r>
        <w:rPr>
          <w:rFonts w:hint="eastAsia" w:ascii="宋体" w:hAnsi="宋体"/>
          <w:color w:val="000000"/>
          <w:sz w:val="24"/>
          <w:szCs w:val="24"/>
        </w:rPr>
        <w:t>变压器箱体采用波纹式油箱结构，在油箱的下部壁上应装有油样阀门，油箱下部应装有放油阀。</w:t>
      </w:r>
    </w:p>
    <w:p>
      <w:pPr>
        <w:spacing w:line="4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.3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变压器铁心和较大金属结构零件均应通过油箱可靠接地，箱体外壳有接地点。</w:t>
      </w:r>
    </w:p>
    <w:p>
      <w:pPr>
        <w:spacing w:line="400" w:lineRule="exac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.4</w:t>
      </w:r>
      <w:r>
        <w:rPr>
          <w:rFonts w:hint="eastAsia" w:ascii="宋体" w:hAnsi="宋体"/>
          <w:color w:val="000000"/>
          <w:sz w:val="24"/>
          <w:szCs w:val="24"/>
        </w:rPr>
        <w:t xml:space="preserve"> 高压端与低压端接线柱分别用大写</w:t>
      </w:r>
      <w:r>
        <w:rPr>
          <w:rFonts w:ascii="宋体" w:hAnsi="宋体"/>
          <w:color w:val="000000"/>
          <w:sz w:val="24"/>
          <w:szCs w:val="24"/>
        </w:rPr>
        <w:t>ABC</w:t>
      </w:r>
      <w:r>
        <w:rPr>
          <w:rFonts w:hint="eastAsia" w:ascii="宋体" w:hAnsi="宋体"/>
          <w:color w:val="000000"/>
          <w:sz w:val="24"/>
          <w:szCs w:val="24"/>
        </w:rPr>
        <w:t>和小写</w:t>
      </w:r>
      <w:r>
        <w:rPr>
          <w:rFonts w:ascii="宋体" w:hAnsi="宋体"/>
          <w:color w:val="000000"/>
          <w:sz w:val="24"/>
          <w:szCs w:val="24"/>
        </w:rPr>
        <w:t>abc</w:t>
      </w:r>
      <w:r>
        <w:rPr>
          <w:rFonts w:hint="eastAsia" w:ascii="宋体" w:hAnsi="宋体"/>
          <w:color w:val="000000"/>
          <w:sz w:val="24"/>
          <w:szCs w:val="24"/>
        </w:rPr>
        <w:t>标记清楚，二次绕组电压为多档，使用无载调压开关，档数与每档间隔电压按订货要求（一般为七档，每档间隔电压</w:t>
      </w:r>
      <w:r>
        <w:rPr>
          <w:rFonts w:ascii="宋体" w:hAnsi="宋体"/>
          <w:color w:val="000000"/>
          <w:sz w:val="24"/>
          <w:szCs w:val="24"/>
        </w:rPr>
        <w:t>50V</w:t>
      </w:r>
      <w:r>
        <w:rPr>
          <w:rFonts w:hint="eastAsia" w:ascii="宋体" w:hAnsi="宋体"/>
          <w:color w:val="000000"/>
          <w:sz w:val="24"/>
          <w:szCs w:val="24"/>
        </w:rPr>
        <w:t>或</w:t>
      </w:r>
      <w:r>
        <w:rPr>
          <w:rFonts w:ascii="宋体" w:hAnsi="宋体"/>
          <w:color w:val="000000"/>
          <w:sz w:val="24"/>
          <w:szCs w:val="24"/>
        </w:rPr>
        <w:t>75V</w:t>
      </w:r>
      <w:r>
        <w:rPr>
          <w:rFonts w:hint="eastAsia" w:ascii="宋体" w:hAnsi="宋体"/>
          <w:color w:val="000000"/>
          <w:sz w:val="24"/>
          <w:szCs w:val="24"/>
        </w:rPr>
        <w:t>）；铭牌参数要填写清晰完整，尤其是型号、容量、原边电压、副边各档位对应电压、联结组标号等参数。</w:t>
      </w:r>
    </w:p>
    <w:p>
      <w:pPr>
        <w:spacing w:line="4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.5</w:t>
      </w:r>
      <w:r>
        <w:rPr>
          <w:rFonts w:hint="eastAsia" w:ascii="宋体" w:hAnsi="宋体"/>
          <w:color w:val="000000"/>
          <w:sz w:val="24"/>
          <w:szCs w:val="24"/>
        </w:rPr>
        <w:t xml:space="preserve">  二次绕组中星点不接地，附加绕组中性点引出。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 xml:space="preserve">.6  </w:t>
      </w:r>
      <w:r>
        <w:rPr>
          <w:rFonts w:hint="eastAsia" w:ascii="宋体" w:hAnsi="宋体"/>
          <w:color w:val="000000"/>
          <w:sz w:val="24"/>
          <w:szCs w:val="24"/>
        </w:rPr>
        <w:t>套管接线端子连接处，在环境空气中对空气的温升不大于</w:t>
      </w:r>
      <w:r>
        <w:rPr>
          <w:rFonts w:ascii="宋体" w:hAnsi="宋体"/>
          <w:color w:val="000000"/>
          <w:sz w:val="24"/>
          <w:szCs w:val="24"/>
        </w:rPr>
        <w:t>55K,</w:t>
      </w:r>
      <w:r>
        <w:rPr>
          <w:rFonts w:hint="eastAsia" w:ascii="宋体" w:hAnsi="宋体"/>
          <w:color w:val="000000"/>
          <w:sz w:val="24"/>
          <w:szCs w:val="24"/>
        </w:rPr>
        <w:t>在油中对油的温升不大于</w:t>
      </w:r>
      <w:r>
        <w:rPr>
          <w:rFonts w:ascii="宋体" w:hAnsi="宋体"/>
          <w:color w:val="000000"/>
          <w:sz w:val="24"/>
          <w:szCs w:val="24"/>
        </w:rPr>
        <w:t>15K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>
      <w:pPr>
        <w:spacing w:line="4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 xml:space="preserve">.7  </w:t>
      </w:r>
      <w:r>
        <w:rPr>
          <w:rFonts w:hint="eastAsia" w:ascii="宋体" w:hAnsi="宋体"/>
          <w:color w:val="000000"/>
          <w:sz w:val="24"/>
          <w:szCs w:val="24"/>
        </w:rPr>
        <w:t>变压器应符合电力变压器标准</w:t>
      </w:r>
      <w:r>
        <w:rPr>
          <w:rFonts w:ascii="宋体" w:hAnsi="宋体"/>
          <w:color w:val="000000"/>
          <w:sz w:val="24"/>
          <w:szCs w:val="24"/>
        </w:rPr>
        <w:t>GB</w:t>
      </w:r>
      <w:r>
        <w:rPr>
          <w:rFonts w:hint="eastAsia" w:ascii="宋体" w:hAnsi="宋体"/>
          <w:color w:val="000000"/>
          <w:sz w:val="24"/>
          <w:szCs w:val="24"/>
        </w:rPr>
        <w:t xml:space="preserve">/T </w:t>
      </w:r>
      <w:r>
        <w:rPr>
          <w:rFonts w:ascii="宋体" w:hAnsi="宋体"/>
          <w:color w:val="000000"/>
          <w:sz w:val="24"/>
          <w:szCs w:val="24"/>
        </w:rPr>
        <w:t>1094.1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GB</w:t>
      </w:r>
      <w:r>
        <w:rPr>
          <w:rFonts w:hint="eastAsia" w:ascii="宋体" w:hAnsi="宋体"/>
          <w:color w:val="000000"/>
          <w:sz w:val="24"/>
          <w:szCs w:val="24"/>
        </w:rPr>
        <w:t xml:space="preserve">/T </w:t>
      </w:r>
      <w:r>
        <w:rPr>
          <w:rFonts w:ascii="宋体" w:hAnsi="宋体"/>
          <w:color w:val="000000"/>
          <w:sz w:val="24"/>
          <w:szCs w:val="24"/>
        </w:rPr>
        <w:t>1094.2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GB</w:t>
      </w:r>
      <w:r>
        <w:rPr>
          <w:rFonts w:hint="eastAsia" w:ascii="宋体" w:hAnsi="宋体"/>
          <w:color w:val="000000"/>
          <w:sz w:val="24"/>
          <w:szCs w:val="24"/>
        </w:rPr>
        <w:t xml:space="preserve">/T </w:t>
      </w:r>
      <w:r>
        <w:rPr>
          <w:rFonts w:ascii="宋体" w:hAnsi="宋体"/>
          <w:color w:val="000000"/>
          <w:sz w:val="24"/>
          <w:szCs w:val="24"/>
        </w:rPr>
        <w:t>1094.3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GB</w:t>
      </w:r>
      <w:r>
        <w:rPr>
          <w:rFonts w:hint="eastAsia" w:ascii="宋体" w:hAnsi="宋体"/>
          <w:color w:val="000000"/>
          <w:sz w:val="24"/>
          <w:szCs w:val="24"/>
        </w:rPr>
        <w:t xml:space="preserve">/T </w:t>
      </w:r>
      <w:r>
        <w:rPr>
          <w:rFonts w:ascii="宋体" w:hAnsi="宋体"/>
          <w:color w:val="000000"/>
          <w:sz w:val="24"/>
          <w:szCs w:val="24"/>
        </w:rPr>
        <w:t>1094.5</w:t>
      </w:r>
      <w:r>
        <w:rPr>
          <w:rFonts w:hint="eastAsia" w:ascii="宋体" w:hAnsi="宋体"/>
          <w:color w:val="000000"/>
          <w:sz w:val="24"/>
          <w:szCs w:val="24"/>
        </w:rPr>
        <w:t>及</w:t>
      </w:r>
      <w:r>
        <w:rPr>
          <w:rFonts w:ascii="宋体" w:hAnsi="宋体"/>
          <w:color w:val="000000"/>
          <w:sz w:val="24"/>
          <w:szCs w:val="24"/>
        </w:rPr>
        <w:t>GB/T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>6451</w:t>
      </w:r>
      <w:r>
        <w:rPr>
          <w:rFonts w:hint="eastAsia" w:ascii="宋体" w:hAnsi="宋体"/>
          <w:color w:val="000000"/>
          <w:sz w:val="24"/>
          <w:szCs w:val="24"/>
        </w:rPr>
        <w:t>的规定。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 xml:space="preserve">.8  </w:t>
      </w:r>
      <w:r>
        <w:rPr>
          <w:rFonts w:hint="eastAsia" w:ascii="宋体" w:hAnsi="宋体"/>
          <w:color w:val="000000"/>
          <w:sz w:val="24"/>
          <w:szCs w:val="24"/>
        </w:rPr>
        <w:t>变压器性能应符合下表的规定。</w:t>
      </w:r>
    </w:p>
    <w:p>
      <w:pPr>
        <w:spacing w:after="48" w:afterLines="20" w:line="40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变压器技术指标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3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00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绕组间、对地绝缘电阻：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高压对中压、低压、地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中压对低压、地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低压对地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color w:val="000000"/>
                <w:szCs w:val="21"/>
              </w:rPr>
              <w:t>Ω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&gt;2000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&gt;1000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&gt;500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00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直流电阻三相不平衡度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≤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00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电压变比偏差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额定电流下的实际阻抗电压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≤±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≤±</w:t>
            </w: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00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外施耐压（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倍额定值）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不击穿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min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00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感应耐压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不击穿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min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00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空载电流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空载损耗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%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kW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&lt;</w:t>
            </w:r>
            <w:r>
              <w:rPr>
                <w:rFonts w:hint="eastAsia" w:ascii="宋体" w:hAnsi="宋体"/>
                <w:color w:val="000000"/>
                <w:szCs w:val="21"/>
              </w:rPr>
              <w:t>规定值</w:t>
            </w:r>
            <w:r>
              <w:rPr>
                <w:rFonts w:ascii="宋体" w:hAnsi="宋体"/>
                <w:color w:val="000000"/>
                <w:szCs w:val="21"/>
              </w:rPr>
              <w:t>+30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&lt;</w:t>
            </w:r>
            <w:r>
              <w:rPr>
                <w:rFonts w:hint="eastAsia" w:ascii="宋体" w:hAnsi="宋体"/>
                <w:color w:val="000000"/>
                <w:szCs w:val="21"/>
              </w:rPr>
              <w:t>规定值</w:t>
            </w:r>
            <w:r>
              <w:rPr>
                <w:rFonts w:ascii="宋体" w:hAnsi="宋体"/>
                <w:color w:val="000000"/>
                <w:szCs w:val="21"/>
              </w:rPr>
              <w:t>+15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00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负载损耗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kW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&lt;</w:t>
            </w:r>
            <w:r>
              <w:rPr>
                <w:rFonts w:hint="eastAsia" w:ascii="宋体" w:hAnsi="宋体"/>
                <w:color w:val="000000"/>
                <w:szCs w:val="21"/>
              </w:rPr>
              <w:t>规定值</w:t>
            </w:r>
            <w:r>
              <w:rPr>
                <w:rFonts w:ascii="宋体" w:hAnsi="宋体"/>
                <w:color w:val="000000"/>
                <w:szCs w:val="21"/>
              </w:rPr>
              <w:t>+15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00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温升试验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油顶层温升</w:t>
            </w:r>
          </w:p>
          <w:p>
            <w:pPr>
              <w:spacing w:after="24" w:afterLines="10"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绕组平均温升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K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&lt;55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&lt;65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00" w:type="dxa"/>
            <w:noWrap w:val="0"/>
            <w:vAlign w:val="top"/>
          </w:tcPr>
          <w:p>
            <w:pPr>
              <w:spacing w:after="24" w:afterLines="10"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变压器油击穿电压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kV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≥</w:t>
            </w:r>
            <w:r>
              <w:rPr>
                <w:rFonts w:ascii="宋体" w:hAnsi="宋体"/>
                <w:color w:val="000000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00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密封性能</w:t>
            </w:r>
            <w:r>
              <w:rPr>
                <w:rFonts w:ascii="宋体" w:hAnsi="宋体"/>
                <w:color w:val="000000"/>
                <w:szCs w:val="21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Cs w:val="21"/>
              </w:rPr>
              <w:t>不泄漏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MPa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h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0.05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注：规定值见</w:t>
            </w:r>
            <w:r>
              <w:rPr>
                <w:rFonts w:ascii="宋体" w:hAnsi="宋体"/>
                <w:color w:val="000000"/>
                <w:szCs w:val="21"/>
              </w:rPr>
              <w:t>GB/T 6451</w:t>
            </w:r>
          </w:p>
        </w:tc>
      </w:tr>
    </w:tbl>
    <w:p>
      <w:pPr>
        <w:spacing w:line="400" w:lineRule="exac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4  供方需提供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 xml:space="preserve">.1 </w:t>
      </w:r>
      <w:r>
        <w:rPr>
          <w:rFonts w:hint="eastAsia" w:ascii="宋体" w:hAnsi="宋体"/>
          <w:color w:val="000000"/>
          <w:sz w:val="24"/>
          <w:szCs w:val="24"/>
        </w:rPr>
        <w:t xml:space="preserve"> 提供第3</w:t>
      </w:r>
      <w:r>
        <w:rPr>
          <w:rFonts w:ascii="宋体" w:hAnsi="宋体"/>
          <w:color w:val="000000"/>
          <w:sz w:val="24"/>
          <w:szCs w:val="24"/>
        </w:rPr>
        <w:t>.1</w:t>
      </w:r>
      <w:r>
        <w:rPr>
          <w:rFonts w:hint="eastAsia" w:ascii="宋体" w:hAnsi="宋体"/>
          <w:color w:val="000000"/>
          <w:sz w:val="24"/>
          <w:szCs w:val="24"/>
        </w:rPr>
        <w:t>～3</w:t>
      </w:r>
      <w:r>
        <w:rPr>
          <w:rFonts w:ascii="宋体" w:hAnsi="宋体"/>
          <w:color w:val="000000"/>
          <w:sz w:val="24"/>
          <w:szCs w:val="24"/>
        </w:rPr>
        <w:t>.6</w:t>
      </w:r>
      <w:r>
        <w:rPr>
          <w:rFonts w:hint="eastAsia" w:ascii="宋体" w:hAnsi="宋体"/>
          <w:color w:val="000000"/>
          <w:sz w:val="24"/>
          <w:szCs w:val="24"/>
        </w:rPr>
        <w:t>条款要求的各项指标的出厂检测报告，包括绝缘电阻、变压比及联结组、绕组电阻、外施耐压、感应耐压、空载损耗及空载电流、阻抗电压及负载损耗、变压器油、密封试验。检测报告中要求填写实测值及规定值。一式两份。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4.2  提供说明书，要求注明使用方法、注意事项（包括必要的电路图），一式两份。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4.3  提供产品合格证。一式两份。</w:t>
      </w:r>
    </w:p>
    <w:p>
      <w:pPr>
        <w:spacing w:line="400" w:lineRule="exac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5  入厂检验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</w:t>
      </w:r>
      <w:r>
        <w:rPr>
          <w:rFonts w:ascii="宋体" w:hAnsi="宋体"/>
          <w:color w:val="000000"/>
          <w:sz w:val="24"/>
          <w:szCs w:val="24"/>
        </w:rPr>
        <w:t xml:space="preserve">.1 </w:t>
      </w:r>
      <w:r>
        <w:rPr>
          <w:rFonts w:hint="eastAsia" w:ascii="宋体" w:hAnsi="宋体"/>
          <w:color w:val="000000"/>
          <w:sz w:val="24"/>
          <w:szCs w:val="24"/>
        </w:rPr>
        <w:t xml:space="preserve"> 按本要求第3</w:t>
      </w:r>
      <w:r>
        <w:rPr>
          <w:rFonts w:ascii="宋体" w:hAnsi="宋体"/>
          <w:color w:val="000000"/>
          <w:sz w:val="24"/>
          <w:szCs w:val="24"/>
        </w:rPr>
        <w:t>.1</w:t>
      </w:r>
      <w:r>
        <w:rPr>
          <w:rFonts w:hint="eastAsia" w:ascii="宋体" w:hAnsi="宋体"/>
          <w:color w:val="000000"/>
          <w:sz w:val="24"/>
          <w:szCs w:val="24"/>
        </w:rPr>
        <w:t>～3.4条款检验变压器的外观质量、标识及铭牌，按照第3.8条款仅要求测量各绕组之间及绕组对地绝缘电阻、三相直流电阻，按表中规定值判定是否合格，抽检率</w:t>
      </w:r>
      <w:r>
        <w:rPr>
          <w:rFonts w:ascii="宋体" w:hAnsi="宋体"/>
          <w:color w:val="000000"/>
          <w:sz w:val="24"/>
          <w:szCs w:val="24"/>
        </w:rPr>
        <w:t>100%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5.2  累积每30台，抽检1台送往水电厂检测，有特殊要求的，全部送水电厂检测并出具报告。</w:t>
      </w:r>
    </w:p>
    <w:p>
      <w:pPr>
        <w:spacing w:line="40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5.3  按本要求第4条款验收各项检测报告、合格证、说明书等资料，应完整清晰、齐全准确，出厂检验人员签字、盖章齐全。</w:t>
      </w:r>
    </w:p>
    <w:p>
      <w:pPr>
        <w:spacing w:line="4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5.4  验收后填写进货检验记录。</w:t>
      </w:r>
    </w:p>
    <w:p>
      <w:pPr>
        <w:spacing w:line="400" w:lineRule="exact"/>
        <w:jc w:val="center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hint="eastAsia" w:ascii="宋体" w:hAnsi="宋体"/>
          <w:color w:val="000000"/>
          <w:sz w:val="28"/>
          <w:szCs w:val="28"/>
        </w:rPr>
      </w:pPr>
    </w:p>
    <w:p/>
    <w:sectPr>
      <w:pgSz w:w="11906" w:h="16838"/>
      <w:pgMar w:top="426" w:right="566" w:bottom="426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14"/>
    <w:rsid w:val="001C7614"/>
    <w:rsid w:val="00235C6F"/>
    <w:rsid w:val="00C35F00"/>
    <w:rsid w:val="00C37733"/>
    <w:rsid w:val="0D351477"/>
    <w:rsid w:val="258F5828"/>
    <w:rsid w:val="30B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标题 Char"/>
    <w:link w:val="4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11">
    <w:name w:val="标题 Char1"/>
    <w:basedOn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212</Words>
  <Characters>1210</Characters>
  <Lines>10</Lines>
  <Paragraphs>2</Paragraphs>
  <TotalTime>31</TotalTime>
  <ScaleCrop>false</ScaleCrop>
  <LinksUpToDate>false</LinksUpToDate>
  <CharactersWithSpaces>1420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2018-11-20T07:45:00Z</dcterms:created>
  <dc:creator>微软用户</dc:creator>
  <cp:lastModifiedBy>杨丽</cp:lastModifiedBy>
  <dcterms:modified xsi:type="dcterms:W3CDTF">2020-08-26T05:49:42Z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