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63" w:rsidRPr="00445063" w:rsidRDefault="00445063" w:rsidP="00445063">
      <w:pPr>
        <w:keepNext/>
        <w:keepLines/>
        <w:spacing w:line="360" w:lineRule="auto"/>
        <w:jc w:val="center"/>
        <w:outlineLvl w:val="0"/>
        <w:rPr>
          <w:rFonts w:asciiTheme="minorEastAsia" w:hAnsiTheme="minorEastAsia" w:cs="Times New Roman"/>
          <w:b/>
          <w:bCs/>
          <w:kern w:val="44"/>
          <w:sz w:val="32"/>
          <w:szCs w:val="21"/>
        </w:rPr>
      </w:pPr>
      <w:bookmarkStart w:id="0" w:name="_Toc701"/>
      <w:bookmarkStart w:id="1" w:name="_Toc435988231"/>
      <w:bookmarkStart w:id="2" w:name="_Toc434844741"/>
      <w:bookmarkStart w:id="3" w:name="_Toc435988139"/>
      <w:bookmarkStart w:id="4" w:name="_Toc474242863"/>
      <w:bookmarkStart w:id="5" w:name="_Toc496605453"/>
      <w:bookmarkStart w:id="6" w:name="_Toc496690636"/>
      <w:bookmarkStart w:id="7" w:name="_Toc501706207"/>
      <w:bookmarkStart w:id="8" w:name="_Toc50457274"/>
      <w:r w:rsidRPr="00445063">
        <w:rPr>
          <w:rFonts w:asciiTheme="minorEastAsia" w:hAnsiTheme="minorEastAsia" w:cs="Times New Roman" w:hint="eastAsia"/>
          <w:b/>
          <w:bCs/>
          <w:kern w:val="44"/>
          <w:sz w:val="32"/>
          <w:szCs w:val="21"/>
        </w:rPr>
        <w:t>第四章  商务、技术</w:t>
      </w:r>
      <w:bookmarkEnd w:id="0"/>
      <w:r w:rsidRPr="00445063">
        <w:rPr>
          <w:rFonts w:asciiTheme="minorEastAsia" w:hAnsiTheme="minorEastAsia" w:cs="Times New Roman" w:hint="eastAsia"/>
          <w:b/>
          <w:bCs/>
          <w:kern w:val="44"/>
          <w:sz w:val="32"/>
          <w:szCs w:val="21"/>
        </w:rPr>
        <w:t>要求</w:t>
      </w:r>
      <w:bookmarkEnd w:id="1"/>
      <w:bookmarkEnd w:id="2"/>
      <w:bookmarkEnd w:id="3"/>
      <w:bookmarkEnd w:id="4"/>
      <w:bookmarkEnd w:id="5"/>
      <w:bookmarkEnd w:id="6"/>
      <w:bookmarkEnd w:id="7"/>
      <w:bookmarkEnd w:id="8"/>
    </w:p>
    <w:p w:rsidR="00445063" w:rsidRPr="00445063" w:rsidRDefault="00445063" w:rsidP="00445063">
      <w:pPr>
        <w:keepNext/>
        <w:keepLines/>
        <w:spacing w:line="360" w:lineRule="auto"/>
        <w:ind w:firstLineChars="200" w:firstLine="562"/>
        <w:outlineLvl w:val="1"/>
        <w:rPr>
          <w:rFonts w:asciiTheme="minorEastAsia" w:hAnsiTheme="minorEastAsia" w:cstheme="majorBidi"/>
          <w:b/>
          <w:bCs/>
          <w:sz w:val="28"/>
          <w:szCs w:val="21"/>
        </w:rPr>
      </w:pPr>
      <w:bookmarkStart w:id="9" w:name="_Toc501706208"/>
      <w:bookmarkStart w:id="10" w:name="_Toc501562699"/>
      <w:bookmarkStart w:id="11" w:name="_Toc50457275"/>
      <w:r w:rsidRPr="00445063">
        <w:rPr>
          <w:rFonts w:asciiTheme="minorEastAsia" w:hAnsiTheme="minorEastAsia" w:cstheme="majorBidi" w:hint="eastAsia"/>
          <w:b/>
          <w:bCs/>
          <w:sz w:val="28"/>
          <w:szCs w:val="21"/>
        </w:rPr>
        <w:t>一、服务内容</w:t>
      </w:r>
      <w:bookmarkEnd w:id="9"/>
      <w:bookmarkEnd w:id="10"/>
      <w:bookmarkEnd w:id="11"/>
    </w:p>
    <w:p w:rsidR="00445063" w:rsidRPr="00445063" w:rsidRDefault="00445063" w:rsidP="00445063">
      <w:pPr>
        <w:spacing w:line="360" w:lineRule="auto"/>
        <w:ind w:firstLineChars="200" w:firstLine="420"/>
        <w:rPr>
          <w:rFonts w:asciiTheme="minorEastAsia" w:hAnsiTheme="minorEastAsia" w:cs="Times New Roman"/>
          <w:szCs w:val="21"/>
        </w:rPr>
      </w:pPr>
      <w:r w:rsidRPr="00445063">
        <w:rPr>
          <w:rFonts w:asciiTheme="minorEastAsia" w:hAnsiTheme="minorEastAsia" w:cs="Times New Roman" w:hint="eastAsia"/>
          <w:szCs w:val="21"/>
        </w:rPr>
        <w:t>本次招标主要是对井下作业分公司施工区域内的油水井提供配合起下管柱技术服务，服务内容主要包括起下钻杆、起下油管、起泵、下泵、压井、洗井等项目。本项目设有1个标段，通过框架协议招标的方式确定中标人。</w:t>
      </w:r>
    </w:p>
    <w:p w:rsidR="00445063" w:rsidRPr="00445063" w:rsidRDefault="00445063" w:rsidP="00445063">
      <w:pPr>
        <w:keepNext/>
        <w:keepLines/>
        <w:spacing w:line="360" w:lineRule="auto"/>
        <w:ind w:firstLineChars="200" w:firstLine="562"/>
        <w:outlineLvl w:val="1"/>
        <w:rPr>
          <w:rFonts w:asciiTheme="minorEastAsia" w:hAnsiTheme="minorEastAsia" w:cstheme="majorBidi"/>
          <w:b/>
          <w:bCs/>
          <w:sz w:val="28"/>
          <w:szCs w:val="21"/>
        </w:rPr>
      </w:pPr>
      <w:bookmarkStart w:id="12" w:name="_Toc501562700"/>
      <w:bookmarkStart w:id="13" w:name="_Toc501706209"/>
      <w:bookmarkStart w:id="14" w:name="_Toc531340432"/>
      <w:bookmarkStart w:id="15" w:name="_Toc50457276"/>
      <w:r w:rsidRPr="00445063">
        <w:rPr>
          <w:rFonts w:asciiTheme="minorEastAsia" w:hAnsiTheme="minorEastAsia" w:cstheme="majorBidi" w:hint="eastAsia"/>
          <w:b/>
          <w:bCs/>
          <w:sz w:val="28"/>
          <w:szCs w:val="21"/>
        </w:rPr>
        <w:t>二、商务要求</w:t>
      </w:r>
      <w:bookmarkEnd w:id="12"/>
      <w:bookmarkEnd w:id="13"/>
      <w:bookmarkEnd w:id="14"/>
      <w:bookmarkEnd w:id="15"/>
    </w:p>
    <w:p w:rsidR="00445063" w:rsidRPr="00445063" w:rsidRDefault="00445063" w:rsidP="00445063">
      <w:pPr>
        <w:keepNext/>
        <w:keepLines/>
        <w:spacing w:line="440" w:lineRule="exact"/>
        <w:ind w:firstLineChars="200" w:firstLine="422"/>
        <w:outlineLvl w:val="2"/>
        <w:rPr>
          <w:rFonts w:ascii="宋体" w:eastAsia="宋体" w:hAnsi="宋体" w:cs="Times New Roman"/>
          <w:b/>
          <w:bCs/>
          <w:szCs w:val="24"/>
        </w:rPr>
      </w:pPr>
      <w:r w:rsidRPr="00445063">
        <w:rPr>
          <w:rFonts w:ascii="宋体" w:eastAsia="宋体" w:hAnsi="宋体" w:cs="Times New Roman" w:hint="eastAsia"/>
          <w:b/>
          <w:bCs/>
          <w:szCs w:val="24"/>
        </w:rPr>
        <w:t>1、最高投标限价：</w:t>
      </w:r>
    </w:p>
    <w:p w:rsidR="00445063" w:rsidRPr="00445063" w:rsidRDefault="00445063" w:rsidP="00445063">
      <w:pPr>
        <w:spacing w:line="360" w:lineRule="auto"/>
        <w:ind w:firstLineChars="200" w:firstLine="422"/>
        <w:rPr>
          <w:rFonts w:asciiTheme="minorEastAsia" w:hAnsiTheme="minorEastAsia" w:cs="Times New Roman"/>
          <w:b/>
          <w:szCs w:val="21"/>
        </w:rPr>
      </w:pPr>
      <w:r w:rsidRPr="00445063">
        <w:rPr>
          <w:rFonts w:asciiTheme="minorEastAsia" w:hAnsiTheme="minorEastAsia" w:cs="Times New Roman" w:hint="eastAsia"/>
          <w:b/>
          <w:szCs w:val="21"/>
        </w:rPr>
        <w:t>（1）提供9%增值税发票的，最高投标限价为</w:t>
      </w:r>
      <w:r w:rsidRPr="00445063">
        <w:rPr>
          <w:rFonts w:asciiTheme="minorEastAsia" w:hAnsiTheme="minorEastAsia" w:cs="宋体" w:hint="eastAsia"/>
          <w:b/>
          <w:szCs w:val="21"/>
        </w:rPr>
        <w:t>在招标方与业主方结算价款</w:t>
      </w:r>
      <w:r w:rsidRPr="00445063">
        <w:rPr>
          <w:rFonts w:asciiTheme="minorEastAsia" w:hAnsiTheme="minorEastAsia" w:cs="Times New Roman" w:hint="eastAsia"/>
          <w:b/>
          <w:szCs w:val="21"/>
        </w:rPr>
        <w:t>（不含税）的基础上整体下浮比例不低于10%；</w:t>
      </w:r>
    </w:p>
    <w:p w:rsidR="00445063" w:rsidRPr="00445063" w:rsidRDefault="00445063" w:rsidP="00445063">
      <w:pPr>
        <w:spacing w:line="360" w:lineRule="auto"/>
        <w:ind w:firstLineChars="200" w:firstLine="422"/>
        <w:rPr>
          <w:rFonts w:asciiTheme="minorEastAsia" w:hAnsiTheme="minorEastAsia" w:cs="Times New Roman"/>
          <w:b/>
          <w:szCs w:val="21"/>
        </w:rPr>
      </w:pPr>
      <w:r w:rsidRPr="00445063">
        <w:rPr>
          <w:rFonts w:asciiTheme="minorEastAsia" w:hAnsiTheme="minorEastAsia" w:cs="Times New Roman" w:hint="eastAsia"/>
          <w:b/>
          <w:szCs w:val="21"/>
        </w:rPr>
        <w:t>（2）提供6%增值税发票的，最高投标限价为</w:t>
      </w:r>
      <w:r w:rsidRPr="00445063">
        <w:rPr>
          <w:rFonts w:asciiTheme="minorEastAsia" w:hAnsiTheme="minorEastAsia" w:cs="宋体" w:hint="eastAsia"/>
          <w:b/>
          <w:szCs w:val="21"/>
        </w:rPr>
        <w:t>在招标方与业主方结算价款</w:t>
      </w:r>
      <w:r w:rsidRPr="00445063">
        <w:rPr>
          <w:rFonts w:asciiTheme="minorEastAsia" w:hAnsiTheme="minorEastAsia" w:cs="Times New Roman" w:hint="eastAsia"/>
          <w:b/>
          <w:szCs w:val="21"/>
        </w:rPr>
        <w:t>（不含税）的基础上整体下浮比例不低于12%；</w:t>
      </w:r>
    </w:p>
    <w:p w:rsidR="00445063" w:rsidRPr="00445063" w:rsidRDefault="00445063" w:rsidP="00445063">
      <w:pPr>
        <w:keepNext/>
        <w:keepLines/>
        <w:spacing w:line="440" w:lineRule="exact"/>
        <w:ind w:firstLineChars="200" w:firstLine="422"/>
        <w:outlineLvl w:val="2"/>
        <w:rPr>
          <w:rFonts w:ascii="宋体" w:eastAsia="宋体" w:hAnsi="宋体" w:cs="Times New Roman"/>
          <w:b/>
          <w:bCs/>
          <w:szCs w:val="24"/>
        </w:rPr>
      </w:pPr>
      <w:r w:rsidRPr="00445063">
        <w:rPr>
          <w:rFonts w:ascii="宋体" w:eastAsia="宋体" w:hAnsi="宋体" w:cs="Times New Roman" w:hint="eastAsia"/>
          <w:b/>
          <w:bCs/>
          <w:szCs w:val="24"/>
        </w:rPr>
        <w:t>2、投标报价要求</w:t>
      </w:r>
    </w:p>
    <w:p w:rsidR="00445063" w:rsidRPr="00445063" w:rsidRDefault="00445063" w:rsidP="00445063">
      <w:pPr>
        <w:widowControl/>
        <w:spacing w:line="440" w:lineRule="exact"/>
        <w:ind w:firstLineChars="200" w:firstLine="420"/>
        <w:jc w:val="left"/>
        <w:rPr>
          <w:rFonts w:ascii="宋体" w:eastAsia="宋体" w:hAnsi="宋体" w:cs="宋体"/>
          <w:kern w:val="10"/>
          <w:szCs w:val="24"/>
        </w:rPr>
      </w:pPr>
      <w:r w:rsidRPr="00445063">
        <w:rPr>
          <w:rFonts w:ascii="宋体" w:eastAsia="宋体" w:hAnsi="宋体" w:cs="宋体" w:hint="eastAsia"/>
          <w:kern w:val="10"/>
          <w:szCs w:val="24"/>
        </w:rPr>
        <w:t>（1）投标报价不含增值税，币种为人民币。</w:t>
      </w:r>
    </w:p>
    <w:p w:rsidR="00445063" w:rsidRPr="00445063" w:rsidRDefault="00445063" w:rsidP="00445063">
      <w:pPr>
        <w:spacing w:line="360" w:lineRule="auto"/>
        <w:ind w:firstLineChars="200" w:firstLine="420"/>
        <w:rPr>
          <w:rFonts w:asciiTheme="minorEastAsia" w:hAnsiTheme="minorEastAsia" w:cs="Times New Roman"/>
          <w:szCs w:val="21"/>
        </w:rPr>
      </w:pPr>
      <w:r w:rsidRPr="00445063">
        <w:rPr>
          <w:rFonts w:ascii="宋体" w:eastAsia="宋体" w:hAnsi="宋体" w:cs="宋体" w:hint="eastAsia"/>
          <w:kern w:val="10"/>
          <w:szCs w:val="24"/>
        </w:rPr>
        <w:t>（2）投标报价为</w:t>
      </w:r>
      <w:r w:rsidRPr="00445063">
        <w:rPr>
          <w:rFonts w:asciiTheme="minorEastAsia" w:hAnsiTheme="minorEastAsia" w:cs="宋体" w:hint="eastAsia"/>
          <w:szCs w:val="21"/>
        </w:rPr>
        <w:t>在招标方与业主方结算价款</w:t>
      </w:r>
      <w:r w:rsidRPr="00445063">
        <w:rPr>
          <w:rFonts w:asciiTheme="minorEastAsia" w:hAnsiTheme="minorEastAsia" w:cs="Times New Roman" w:hint="eastAsia"/>
          <w:szCs w:val="21"/>
        </w:rPr>
        <w:t>（不含税）的基础上整体下浮比例；</w:t>
      </w:r>
    </w:p>
    <w:p w:rsidR="00445063" w:rsidRPr="00445063" w:rsidRDefault="00445063" w:rsidP="00445063">
      <w:pPr>
        <w:widowControl/>
        <w:autoSpaceDE w:val="0"/>
        <w:spacing w:line="440" w:lineRule="exact"/>
        <w:ind w:firstLineChars="200" w:firstLine="422"/>
        <w:rPr>
          <w:rFonts w:ascii="宋体" w:eastAsia="宋体" w:hAnsi="宋体" w:cs="Times New Roman"/>
          <w:b/>
          <w:szCs w:val="24"/>
        </w:rPr>
      </w:pPr>
      <w:r w:rsidRPr="00445063">
        <w:rPr>
          <w:rFonts w:ascii="宋体" w:eastAsia="宋体" w:hAnsi="宋体" w:cs="宋体" w:hint="eastAsia"/>
          <w:b/>
          <w:kern w:val="10"/>
          <w:szCs w:val="24"/>
        </w:rPr>
        <w:t>（3）</w:t>
      </w:r>
      <w:r w:rsidRPr="00445063">
        <w:rPr>
          <w:rFonts w:ascii="宋体" w:eastAsia="宋体" w:hAnsi="宋体" w:cs="Times New Roman" w:hint="eastAsia"/>
          <w:b/>
          <w:szCs w:val="24"/>
        </w:rPr>
        <w:t>投标报价整体下浮比例必须取整数，如投标报价下浮比例为Y%，Y必须为整数，否则否决其投标；</w:t>
      </w:r>
    </w:p>
    <w:p w:rsidR="00445063" w:rsidRPr="00445063" w:rsidRDefault="00445063" w:rsidP="00445063">
      <w:pPr>
        <w:widowControl/>
        <w:autoSpaceDE w:val="0"/>
        <w:spacing w:line="440" w:lineRule="exact"/>
        <w:ind w:firstLineChars="200" w:firstLine="422"/>
        <w:rPr>
          <w:rFonts w:ascii="宋体" w:eastAsia="宋体" w:hAnsi="宋体" w:cs="Times New Roman"/>
          <w:b/>
          <w:szCs w:val="24"/>
        </w:rPr>
      </w:pPr>
      <w:r w:rsidRPr="00445063">
        <w:rPr>
          <w:rFonts w:ascii="宋体" w:eastAsia="宋体" w:hAnsi="宋体" w:cs="Times New Roman" w:hint="eastAsia"/>
          <w:b/>
          <w:szCs w:val="24"/>
        </w:rPr>
        <w:t>（4）提供9%增值税发票的，投标报价必须大于等于10%，即Y≥10；否则否决其投标。</w:t>
      </w:r>
    </w:p>
    <w:p w:rsidR="00445063" w:rsidRPr="00445063" w:rsidRDefault="00445063" w:rsidP="00445063">
      <w:pPr>
        <w:widowControl/>
        <w:autoSpaceDE w:val="0"/>
        <w:spacing w:line="440" w:lineRule="exact"/>
        <w:ind w:firstLineChars="200" w:firstLine="422"/>
        <w:rPr>
          <w:rFonts w:ascii="宋体" w:eastAsia="宋体" w:hAnsi="宋体" w:cs="Times New Roman"/>
          <w:b/>
          <w:szCs w:val="24"/>
        </w:rPr>
      </w:pPr>
      <w:r w:rsidRPr="00445063">
        <w:rPr>
          <w:rFonts w:ascii="宋体" w:eastAsia="宋体" w:hAnsi="宋体" w:cs="Times New Roman" w:hint="eastAsia"/>
          <w:b/>
          <w:szCs w:val="24"/>
        </w:rPr>
        <w:t>（5）提供6%增值税发票的，投标报价必须大于等于12%，即Y≥12；否则否决其投标。</w:t>
      </w:r>
    </w:p>
    <w:p w:rsidR="00445063" w:rsidRPr="00445063" w:rsidRDefault="00445063" w:rsidP="00445063">
      <w:pPr>
        <w:keepNext/>
        <w:keepLines/>
        <w:spacing w:line="440" w:lineRule="exact"/>
        <w:ind w:firstLineChars="200" w:firstLine="422"/>
        <w:outlineLvl w:val="2"/>
        <w:rPr>
          <w:rFonts w:ascii="宋体" w:eastAsia="宋体" w:hAnsi="宋体" w:cs="Times New Roman"/>
          <w:b/>
          <w:bCs/>
          <w:szCs w:val="24"/>
        </w:rPr>
      </w:pPr>
      <w:bookmarkStart w:id="16" w:name="_Toc501562701"/>
      <w:bookmarkStart w:id="17" w:name="_Toc501706210"/>
      <w:bookmarkStart w:id="18" w:name="_Toc531340433"/>
      <w:r w:rsidRPr="00445063">
        <w:rPr>
          <w:rFonts w:ascii="宋体" w:eastAsia="宋体" w:hAnsi="宋体" w:cs="Times New Roman" w:hint="eastAsia"/>
          <w:b/>
          <w:bCs/>
          <w:szCs w:val="24"/>
        </w:rPr>
        <w:t>3、验收方式</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施工结束、验收合格后,根据工作量，开具合同履行验收结算单。</w:t>
      </w:r>
    </w:p>
    <w:p w:rsidR="00445063" w:rsidRPr="00445063" w:rsidRDefault="00445063" w:rsidP="00445063">
      <w:pPr>
        <w:keepNext/>
        <w:keepLines/>
        <w:spacing w:line="360" w:lineRule="auto"/>
        <w:ind w:firstLineChars="200" w:firstLine="422"/>
        <w:outlineLvl w:val="1"/>
        <w:rPr>
          <w:rFonts w:asciiTheme="minorEastAsia" w:hAnsiTheme="minorEastAsia" w:cstheme="majorBidi"/>
          <w:b/>
          <w:bCs/>
          <w:color w:val="FF0000"/>
          <w:szCs w:val="21"/>
        </w:rPr>
      </w:pPr>
      <w:bookmarkStart w:id="19" w:name="_Toc50457277"/>
      <w:r w:rsidRPr="00445063">
        <w:rPr>
          <w:rFonts w:asciiTheme="minorEastAsia" w:hAnsiTheme="minorEastAsia" w:cstheme="majorBidi" w:hint="eastAsia"/>
          <w:b/>
          <w:bCs/>
          <w:szCs w:val="21"/>
        </w:rPr>
        <w:t>三、技术</w:t>
      </w:r>
      <w:r w:rsidRPr="00445063">
        <w:rPr>
          <w:rFonts w:asciiTheme="minorEastAsia" w:hAnsiTheme="minorEastAsia" w:cstheme="majorBidi"/>
          <w:b/>
          <w:bCs/>
          <w:szCs w:val="21"/>
        </w:rPr>
        <w:t>要求</w:t>
      </w:r>
      <w:r w:rsidRPr="00445063">
        <w:rPr>
          <w:rFonts w:asciiTheme="minorEastAsia" w:hAnsiTheme="minorEastAsia" w:cstheme="majorBidi" w:hint="eastAsia"/>
          <w:b/>
          <w:bCs/>
          <w:szCs w:val="21"/>
        </w:rPr>
        <w:t>或技术方案</w:t>
      </w:r>
      <w:bookmarkEnd w:id="16"/>
      <w:bookmarkEnd w:id="17"/>
      <w:bookmarkEnd w:id="18"/>
      <w:bookmarkEnd w:id="19"/>
    </w:p>
    <w:p w:rsidR="00445063" w:rsidRPr="00445063" w:rsidRDefault="00445063" w:rsidP="00445063">
      <w:pPr>
        <w:spacing w:line="360" w:lineRule="auto"/>
        <w:ind w:firstLineChars="200" w:firstLine="420"/>
        <w:jc w:val="left"/>
        <w:rPr>
          <w:rFonts w:asciiTheme="minorEastAsia" w:hAnsiTheme="minorEastAsia" w:cs="宋体"/>
          <w:szCs w:val="21"/>
        </w:rPr>
      </w:pPr>
      <w:r w:rsidRPr="00445063">
        <w:rPr>
          <w:rFonts w:asciiTheme="minorEastAsia" w:hAnsiTheme="minorEastAsia" w:cs="Times New Roman" w:hint="eastAsia"/>
          <w:szCs w:val="21"/>
        </w:rPr>
        <w:t>1、执行标准及规范:</w:t>
      </w:r>
      <w:r w:rsidRPr="00445063">
        <w:rPr>
          <w:rFonts w:asciiTheme="minorEastAsia" w:hAnsiTheme="minorEastAsia" w:cs="宋体" w:hint="eastAsia"/>
          <w:szCs w:val="21"/>
        </w:rPr>
        <w:t>在施工作业中应执行下列有关工程质量标准：</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SY/T6276-2014 石油天然气工业健康、安全、环境管理体系；</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SY/T6127-2017 油气水井井下作业资料录取项目规范；</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 xml:space="preserve">SY/T5587.5-2018 常规修井作业规程 </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Q/SY1124.3-2012 石油企业现场安全检查规范 第3部分：修井作业；</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SY/T5225-2012石油与天然气钻井、开发、储运防火防爆安全生产技术规范；</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SY/T5727-2014 井下作业安全规程；</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t>SY/T6203-2014 油气井井喷着火抢险作法；</w:t>
      </w:r>
    </w:p>
    <w:p w:rsidR="00445063" w:rsidRPr="00445063" w:rsidRDefault="00445063" w:rsidP="00445063">
      <w:pPr>
        <w:spacing w:line="360" w:lineRule="auto"/>
        <w:ind w:firstLineChars="200" w:firstLine="420"/>
        <w:jc w:val="left"/>
        <w:rPr>
          <w:rFonts w:asciiTheme="minorEastAsia" w:hAnsiTheme="minorEastAsia" w:cs="Times New Roman"/>
          <w:szCs w:val="21"/>
        </w:rPr>
      </w:pPr>
      <w:r w:rsidRPr="00445063">
        <w:rPr>
          <w:rFonts w:asciiTheme="minorEastAsia" w:hAnsiTheme="minorEastAsia" w:cs="Times New Roman" w:hint="eastAsia"/>
          <w:szCs w:val="21"/>
        </w:rPr>
        <w:lastRenderedPageBreak/>
        <w:t>SY/T5587.5  常规修井作业规程 第5部分：井下作业井筒准备。</w:t>
      </w:r>
    </w:p>
    <w:p w:rsidR="00445063" w:rsidRPr="00445063" w:rsidRDefault="00445063" w:rsidP="00445063">
      <w:pPr>
        <w:widowControl/>
        <w:spacing w:line="360" w:lineRule="auto"/>
        <w:ind w:firstLineChars="200" w:firstLine="420"/>
        <w:rPr>
          <w:rFonts w:asciiTheme="minorEastAsia" w:hAnsiTheme="minorEastAsia" w:cs="Times New Roman"/>
          <w:szCs w:val="21"/>
        </w:rPr>
      </w:pPr>
      <w:r w:rsidRPr="00445063">
        <w:rPr>
          <w:rFonts w:asciiTheme="minorEastAsia" w:hAnsiTheme="minorEastAsia" w:cs="Times New Roman" w:hint="eastAsia"/>
          <w:szCs w:val="21"/>
        </w:rPr>
        <w:t>2．技术要求：按施工设计施工。</w:t>
      </w:r>
    </w:p>
    <w:p w:rsidR="00445063" w:rsidRPr="00445063" w:rsidRDefault="00445063" w:rsidP="00445063">
      <w:pPr>
        <w:widowControl/>
        <w:spacing w:line="360" w:lineRule="auto"/>
        <w:ind w:firstLineChars="200" w:firstLine="420"/>
        <w:rPr>
          <w:rFonts w:asciiTheme="minorEastAsia" w:hAnsiTheme="minorEastAsia" w:cs="Times New Roman"/>
          <w:szCs w:val="21"/>
        </w:rPr>
      </w:pPr>
      <w:r w:rsidRPr="00445063">
        <w:rPr>
          <w:rFonts w:asciiTheme="minorEastAsia" w:hAnsiTheme="minorEastAsia" w:cs="Times New Roman" w:hint="eastAsia"/>
          <w:szCs w:val="21"/>
        </w:rPr>
        <w:t>3．应按约定的质量标准和技术要求进行施工作业。</w:t>
      </w:r>
    </w:p>
    <w:p w:rsidR="00445063" w:rsidRPr="00445063" w:rsidRDefault="00445063" w:rsidP="00445063">
      <w:pPr>
        <w:widowControl/>
        <w:spacing w:line="360" w:lineRule="auto"/>
        <w:ind w:firstLineChars="200" w:firstLine="420"/>
        <w:rPr>
          <w:rFonts w:asciiTheme="minorEastAsia" w:hAnsiTheme="minorEastAsia" w:cs="Times New Roman"/>
          <w:szCs w:val="21"/>
        </w:rPr>
      </w:pPr>
      <w:r w:rsidRPr="00445063">
        <w:rPr>
          <w:rFonts w:asciiTheme="minorEastAsia" w:hAnsiTheme="minorEastAsia" w:cs="Times New Roman" w:hint="eastAsia"/>
          <w:szCs w:val="21"/>
        </w:rPr>
        <w:t>4．技术资料要求：提供的施工作业资料应当齐全、准确、清晰、规范、整洁。</w:t>
      </w:r>
    </w:p>
    <w:p w:rsidR="00445063" w:rsidRPr="00445063" w:rsidRDefault="00445063" w:rsidP="00445063">
      <w:pPr>
        <w:widowControl/>
        <w:spacing w:line="360" w:lineRule="auto"/>
        <w:ind w:firstLineChars="200" w:firstLine="420"/>
        <w:rPr>
          <w:rFonts w:asciiTheme="minorEastAsia" w:hAnsiTheme="minorEastAsia" w:cs="Times New Roman"/>
          <w:szCs w:val="21"/>
        </w:rPr>
      </w:pPr>
      <w:r w:rsidRPr="00445063">
        <w:rPr>
          <w:rFonts w:asciiTheme="minorEastAsia" w:hAnsiTheme="minorEastAsia" w:cs="Times New Roman" w:hint="eastAsia"/>
          <w:szCs w:val="21"/>
        </w:rPr>
        <w:t>5.符合《环境保护法》、《安全生产法》的要求，安全生产标准化达标。</w:t>
      </w:r>
    </w:p>
    <w:p w:rsidR="00445063" w:rsidRPr="00445063" w:rsidRDefault="00445063" w:rsidP="00445063">
      <w:pPr>
        <w:widowControl/>
        <w:spacing w:line="360" w:lineRule="auto"/>
        <w:ind w:firstLineChars="200" w:firstLine="420"/>
        <w:rPr>
          <w:rFonts w:asciiTheme="minorEastAsia" w:hAnsiTheme="minorEastAsia" w:cs="Times New Roman"/>
          <w:szCs w:val="21"/>
        </w:rPr>
      </w:pPr>
      <w:r w:rsidRPr="00445063">
        <w:rPr>
          <w:rFonts w:asciiTheme="minorEastAsia" w:hAnsiTheme="minorEastAsia" w:cs="Times New Roman" w:hint="eastAsia"/>
          <w:szCs w:val="21"/>
        </w:rPr>
        <w:t>6.正常施工时现场人员必须持有在有效期限内的HSE证、</w:t>
      </w:r>
      <w:proofErr w:type="gramStart"/>
      <w:r w:rsidRPr="00445063">
        <w:rPr>
          <w:rFonts w:asciiTheme="minorEastAsia" w:hAnsiTheme="minorEastAsia" w:cs="Times New Roman" w:hint="eastAsia"/>
          <w:szCs w:val="21"/>
        </w:rPr>
        <w:t>井控证</w:t>
      </w:r>
      <w:proofErr w:type="gramEnd"/>
      <w:r w:rsidRPr="00445063">
        <w:rPr>
          <w:rFonts w:asciiTheme="minorEastAsia" w:hAnsiTheme="minorEastAsia" w:cs="Times New Roman" w:hint="eastAsia"/>
          <w:szCs w:val="21"/>
        </w:rPr>
        <w:t>、设备操作证。</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注意：除合同另有约定外，都应依照本技术标准和要求以及适用的现行规范、标准和规程的最新版本执行</w:t>
      </w:r>
      <w:r w:rsidRPr="00445063">
        <w:rPr>
          <w:rFonts w:asciiTheme="minorEastAsia" w:hAnsiTheme="minorEastAsia" w:cs="Times New Roman"/>
          <w:kern w:val="10"/>
          <w:szCs w:val="21"/>
        </w:rPr>
        <w:t>。</w:t>
      </w:r>
      <w:r w:rsidRPr="00445063">
        <w:rPr>
          <w:rFonts w:asciiTheme="minorEastAsia" w:hAnsiTheme="minorEastAsia" w:cs="Times New Roman" w:hint="eastAsia"/>
          <w:kern w:val="10"/>
          <w:szCs w:val="21"/>
        </w:rPr>
        <w:t>标准作废的，由招标人与中标人协商确定相关技术标准及要求。</w:t>
      </w:r>
      <w:bookmarkStart w:id="20" w:name="_Toc501706211"/>
    </w:p>
    <w:p w:rsidR="00445063" w:rsidRPr="00445063" w:rsidRDefault="00445063" w:rsidP="00445063">
      <w:pPr>
        <w:keepNext/>
        <w:keepLines/>
        <w:spacing w:line="360" w:lineRule="auto"/>
        <w:ind w:firstLineChars="200" w:firstLine="562"/>
        <w:outlineLvl w:val="1"/>
        <w:rPr>
          <w:rFonts w:asciiTheme="minorEastAsia" w:hAnsiTheme="minorEastAsia" w:cstheme="majorBidi"/>
          <w:b/>
          <w:bCs/>
          <w:sz w:val="28"/>
          <w:szCs w:val="21"/>
        </w:rPr>
      </w:pPr>
      <w:bookmarkStart w:id="21" w:name="_Toc50457278"/>
      <w:r w:rsidRPr="00445063">
        <w:rPr>
          <w:rFonts w:asciiTheme="minorEastAsia" w:hAnsiTheme="minorEastAsia" w:cstheme="majorBidi" w:hint="eastAsia"/>
          <w:b/>
          <w:bCs/>
          <w:sz w:val="28"/>
          <w:szCs w:val="21"/>
        </w:rPr>
        <w:t>四、验收方式</w:t>
      </w:r>
      <w:bookmarkEnd w:id="20"/>
      <w:bookmarkEnd w:id="21"/>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严格执行渤海钻探井下作业分公司《井下作业分公司石油工程外包业务管理实施细则》</w:t>
      </w:r>
      <w:proofErr w:type="gramStart"/>
      <w:r w:rsidRPr="00445063">
        <w:rPr>
          <w:rFonts w:asciiTheme="minorEastAsia" w:hAnsiTheme="minorEastAsia" w:cs="Times New Roman" w:hint="eastAsia"/>
          <w:kern w:val="10"/>
          <w:szCs w:val="21"/>
        </w:rPr>
        <w:t>渤</w:t>
      </w:r>
      <w:proofErr w:type="gramEnd"/>
      <w:r w:rsidRPr="00445063">
        <w:rPr>
          <w:rFonts w:asciiTheme="minorEastAsia" w:hAnsiTheme="minorEastAsia" w:cs="Times New Roman" w:hint="eastAsia"/>
          <w:kern w:val="10"/>
          <w:szCs w:val="21"/>
        </w:rPr>
        <w:t>钻井下作业分公司根据该管理处罚办法对合作队伍进行管理和考核，根据考核成绩对合作队伍处以整改、罚款、停工、清退处罚。</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甲方在施工结束后在对施工井进行工作量验收，验收合格后甲方出具工作量验收单。</w:t>
      </w:r>
    </w:p>
    <w:p w:rsidR="00445063" w:rsidRPr="00445063" w:rsidRDefault="00445063" w:rsidP="00445063">
      <w:pPr>
        <w:keepNext/>
        <w:keepLines/>
        <w:spacing w:line="360" w:lineRule="auto"/>
        <w:ind w:firstLineChars="200" w:firstLine="562"/>
        <w:outlineLvl w:val="1"/>
        <w:rPr>
          <w:rFonts w:asciiTheme="minorEastAsia" w:hAnsiTheme="minorEastAsia" w:cstheme="majorBidi"/>
          <w:b/>
          <w:bCs/>
          <w:sz w:val="28"/>
          <w:szCs w:val="21"/>
        </w:rPr>
      </w:pPr>
      <w:bookmarkStart w:id="22" w:name="_Toc50457279"/>
      <w:r w:rsidRPr="00445063">
        <w:rPr>
          <w:rFonts w:asciiTheme="minorEastAsia" w:hAnsiTheme="minorEastAsia" w:cstheme="majorBidi" w:hint="eastAsia"/>
          <w:b/>
          <w:bCs/>
          <w:sz w:val="28"/>
          <w:szCs w:val="21"/>
        </w:rPr>
        <w:t>五、HSE要求</w:t>
      </w:r>
      <w:bookmarkEnd w:id="22"/>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 xml:space="preserve">1、严格遵守国家、地方的安全环保法律、法规；国标、行标、企标；中油集团反违章“六条禁令”、“九项管理原则”； </w:t>
      </w:r>
      <w:proofErr w:type="gramStart"/>
      <w:r w:rsidRPr="00445063">
        <w:rPr>
          <w:rFonts w:asciiTheme="minorEastAsia" w:hAnsiTheme="minorEastAsia" w:cs="Times New Roman" w:hint="eastAsia"/>
          <w:kern w:val="10"/>
          <w:szCs w:val="21"/>
        </w:rPr>
        <w:t>渤</w:t>
      </w:r>
      <w:proofErr w:type="gramEnd"/>
      <w:r w:rsidRPr="00445063">
        <w:rPr>
          <w:rFonts w:asciiTheme="minorEastAsia" w:hAnsiTheme="minorEastAsia" w:cs="Times New Roman" w:hint="eastAsia"/>
          <w:kern w:val="10"/>
          <w:szCs w:val="21"/>
        </w:rPr>
        <w:t>钻“十项规定”、“吊装作业保命条款” 及甲方相关安全环保管理、规章制度。</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2、配置符合甲方要求的安全环保设备设施，并定期对设备设施进行检查、维护和保养，定期将特种设备送到地方有正规资质的部门进行检验，并取得有法律效应的安全检验、检测报告。</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3、配置持有效的起重司索证等，符合安全环保要求的员工进行上岗操作，定期组织员工进行相关安全环保培训教育。</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4、按国家有关法律、法规标准，为员工配备符合安全标准的劳动保护用品。</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5、在项目开工前，按各岗位职责，组织开展岗位巡检，识别、评估安全风险，并根据识别、评估的结果，制定出风险削减、控制措施并及时向员工进行安全交底培训。</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6、就可能危害到甲方员工的安全应及时告知甲方负责人。</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7、主动接受甲方的安全环保监管，认真落实甲方的有关安全环保工作要求。</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8、服从甲方统一的安全生产调度、指挥。</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lastRenderedPageBreak/>
        <w:t>9、在服务项目过程中对本单位的安全环保管理，进行经常性自检自查，认真整改隐患，及时查处“三违”行为。</w:t>
      </w:r>
    </w:p>
    <w:p w:rsidR="00445063" w:rsidRPr="00445063" w:rsidRDefault="00445063" w:rsidP="00445063">
      <w:pPr>
        <w:widowControl/>
        <w:spacing w:line="360" w:lineRule="auto"/>
        <w:ind w:firstLineChars="200" w:firstLine="420"/>
        <w:rPr>
          <w:rFonts w:asciiTheme="minorEastAsia" w:hAnsiTheme="minorEastAsia" w:cs="Times New Roman"/>
          <w:kern w:val="10"/>
          <w:szCs w:val="21"/>
        </w:rPr>
      </w:pPr>
      <w:r w:rsidRPr="00445063">
        <w:rPr>
          <w:rFonts w:asciiTheme="minorEastAsia" w:hAnsiTheme="minorEastAsia" w:cs="Times New Roman" w:hint="eastAsia"/>
          <w:kern w:val="10"/>
          <w:szCs w:val="21"/>
        </w:rPr>
        <w:t>10、针对服务项目中可能出现的突发事件，制定出应急处置程序。</w:t>
      </w:r>
    </w:p>
    <w:p w:rsidR="00445063" w:rsidRPr="00445063" w:rsidRDefault="00445063" w:rsidP="00445063">
      <w:pPr>
        <w:shd w:val="clear" w:color="auto" w:fill="FFFFFF"/>
        <w:snapToGrid w:val="0"/>
        <w:spacing w:line="360" w:lineRule="auto"/>
        <w:ind w:firstLineChars="200" w:firstLine="422"/>
        <w:rPr>
          <w:rFonts w:asciiTheme="minorEastAsia" w:hAnsiTheme="minorEastAsia" w:cs="Times New Roman"/>
          <w:b/>
          <w:szCs w:val="21"/>
        </w:rPr>
      </w:pPr>
      <w:r w:rsidRPr="00445063">
        <w:rPr>
          <w:rFonts w:asciiTheme="minorEastAsia" w:hAnsiTheme="minorEastAsia" w:cs="Times New Roman" w:hint="eastAsia"/>
          <w:b/>
          <w:szCs w:val="21"/>
        </w:rPr>
        <w:t>（注：本章条款均为本招标项目的实质性要求，不允许出现任何不利于招标人的实质性偏离）</w:t>
      </w:r>
    </w:p>
    <w:p w:rsidR="0029720F" w:rsidRPr="00B5367C" w:rsidRDefault="0029720F">
      <w:bookmarkStart w:id="23" w:name="_GoBack"/>
      <w:bookmarkEnd w:id="23"/>
    </w:p>
    <w:sectPr w:rsidR="0029720F" w:rsidRPr="00B536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4A" w:rsidRDefault="00FE6C4A" w:rsidP="00B5367C">
      <w:r>
        <w:separator/>
      </w:r>
    </w:p>
  </w:endnote>
  <w:endnote w:type="continuationSeparator" w:id="0">
    <w:p w:rsidR="00FE6C4A" w:rsidRDefault="00FE6C4A" w:rsidP="00B5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4A" w:rsidRDefault="00FE6C4A" w:rsidP="00B5367C">
      <w:r>
        <w:separator/>
      </w:r>
    </w:p>
  </w:footnote>
  <w:footnote w:type="continuationSeparator" w:id="0">
    <w:p w:rsidR="00FE6C4A" w:rsidRDefault="00FE6C4A" w:rsidP="00B53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96"/>
    <w:rsid w:val="00000147"/>
    <w:rsid w:val="00013273"/>
    <w:rsid w:val="00017388"/>
    <w:rsid w:val="00024E3F"/>
    <w:rsid w:val="0002631B"/>
    <w:rsid w:val="000359A3"/>
    <w:rsid w:val="000414F9"/>
    <w:rsid w:val="00044471"/>
    <w:rsid w:val="00044830"/>
    <w:rsid w:val="00086ACB"/>
    <w:rsid w:val="000877E7"/>
    <w:rsid w:val="000A18D0"/>
    <w:rsid w:val="000A22A4"/>
    <w:rsid w:val="000C641D"/>
    <w:rsid w:val="000D39D8"/>
    <w:rsid w:val="000D5681"/>
    <w:rsid w:val="000E2710"/>
    <w:rsid w:val="000E2D13"/>
    <w:rsid w:val="0012074B"/>
    <w:rsid w:val="00144EDE"/>
    <w:rsid w:val="001470AD"/>
    <w:rsid w:val="00161FF0"/>
    <w:rsid w:val="00162355"/>
    <w:rsid w:val="00177DFD"/>
    <w:rsid w:val="00197DD5"/>
    <w:rsid w:val="001A104E"/>
    <w:rsid w:val="001A21AA"/>
    <w:rsid w:val="001A74F7"/>
    <w:rsid w:val="001B25F4"/>
    <w:rsid w:val="001B4D7F"/>
    <w:rsid w:val="001B76B9"/>
    <w:rsid w:val="001C5E40"/>
    <w:rsid w:val="001D5D16"/>
    <w:rsid w:val="001E16B9"/>
    <w:rsid w:val="001E1CA3"/>
    <w:rsid w:val="001F5710"/>
    <w:rsid w:val="00201857"/>
    <w:rsid w:val="00202356"/>
    <w:rsid w:val="002163F5"/>
    <w:rsid w:val="00225DAD"/>
    <w:rsid w:val="0022645F"/>
    <w:rsid w:val="002366D1"/>
    <w:rsid w:val="002432A7"/>
    <w:rsid w:val="00257F48"/>
    <w:rsid w:val="0026572A"/>
    <w:rsid w:val="00274309"/>
    <w:rsid w:val="00285DF3"/>
    <w:rsid w:val="002868CF"/>
    <w:rsid w:val="00290620"/>
    <w:rsid w:val="002911DE"/>
    <w:rsid w:val="00296E40"/>
    <w:rsid w:val="0029720F"/>
    <w:rsid w:val="00297DB0"/>
    <w:rsid w:val="002A2794"/>
    <w:rsid w:val="002A4848"/>
    <w:rsid w:val="002A4F3A"/>
    <w:rsid w:val="002B1F06"/>
    <w:rsid w:val="002B28C6"/>
    <w:rsid w:val="002D4B38"/>
    <w:rsid w:val="002F40DE"/>
    <w:rsid w:val="002F6C14"/>
    <w:rsid w:val="00306A4E"/>
    <w:rsid w:val="00321588"/>
    <w:rsid w:val="00327445"/>
    <w:rsid w:val="00346A7C"/>
    <w:rsid w:val="00384914"/>
    <w:rsid w:val="0038793B"/>
    <w:rsid w:val="00394937"/>
    <w:rsid w:val="003A65A5"/>
    <w:rsid w:val="003B50B3"/>
    <w:rsid w:val="003C1E04"/>
    <w:rsid w:val="003E1BDA"/>
    <w:rsid w:val="003F6CE2"/>
    <w:rsid w:val="00427C2B"/>
    <w:rsid w:val="0043036C"/>
    <w:rsid w:val="00433F96"/>
    <w:rsid w:val="004352C9"/>
    <w:rsid w:val="004446F7"/>
    <w:rsid w:val="00445063"/>
    <w:rsid w:val="00447559"/>
    <w:rsid w:val="00451407"/>
    <w:rsid w:val="004557D2"/>
    <w:rsid w:val="00456D3A"/>
    <w:rsid w:val="00461CBC"/>
    <w:rsid w:val="004621C1"/>
    <w:rsid w:val="0046309F"/>
    <w:rsid w:val="004758C3"/>
    <w:rsid w:val="00486220"/>
    <w:rsid w:val="00490ED2"/>
    <w:rsid w:val="00491EB0"/>
    <w:rsid w:val="004A4510"/>
    <w:rsid w:val="004A6611"/>
    <w:rsid w:val="004B7769"/>
    <w:rsid w:val="004D228A"/>
    <w:rsid w:val="004D4E0E"/>
    <w:rsid w:val="004E60E6"/>
    <w:rsid w:val="004E6C3B"/>
    <w:rsid w:val="00505286"/>
    <w:rsid w:val="00513FFC"/>
    <w:rsid w:val="00515208"/>
    <w:rsid w:val="00522E3B"/>
    <w:rsid w:val="00556B95"/>
    <w:rsid w:val="00591711"/>
    <w:rsid w:val="00597898"/>
    <w:rsid w:val="005A282C"/>
    <w:rsid w:val="005B09BE"/>
    <w:rsid w:val="005B1C05"/>
    <w:rsid w:val="005B6D50"/>
    <w:rsid w:val="005C40AE"/>
    <w:rsid w:val="005C5F67"/>
    <w:rsid w:val="005F3C8F"/>
    <w:rsid w:val="00606FE0"/>
    <w:rsid w:val="00607388"/>
    <w:rsid w:val="00616656"/>
    <w:rsid w:val="00646D44"/>
    <w:rsid w:val="00652808"/>
    <w:rsid w:val="006529A3"/>
    <w:rsid w:val="00655844"/>
    <w:rsid w:val="0066427E"/>
    <w:rsid w:val="00675821"/>
    <w:rsid w:val="00685521"/>
    <w:rsid w:val="00686150"/>
    <w:rsid w:val="006862C2"/>
    <w:rsid w:val="00692F27"/>
    <w:rsid w:val="006B0B80"/>
    <w:rsid w:val="006B41C5"/>
    <w:rsid w:val="006B7F3A"/>
    <w:rsid w:val="006C01DC"/>
    <w:rsid w:val="006C0ACE"/>
    <w:rsid w:val="006C136C"/>
    <w:rsid w:val="006C7BAE"/>
    <w:rsid w:val="006D0F9F"/>
    <w:rsid w:val="006E4FFF"/>
    <w:rsid w:val="006E6606"/>
    <w:rsid w:val="006F094F"/>
    <w:rsid w:val="007000C3"/>
    <w:rsid w:val="0070790D"/>
    <w:rsid w:val="007246CF"/>
    <w:rsid w:val="00741287"/>
    <w:rsid w:val="007413B0"/>
    <w:rsid w:val="00743BF0"/>
    <w:rsid w:val="00745B32"/>
    <w:rsid w:val="00752370"/>
    <w:rsid w:val="00754E27"/>
    <w:rsid w:val="007562D1"/>
    <w:rsid w:val="0076583B"/>
    <w:rsid w:val="00781255"/>
    <w:rsid w:val="007A1FF8"/>
    <w:rsid w:val="007B4CE6"/>
    <w:rsid w:val="007C63F0"/>
    <w:rsid w:val="007D3359"/>
    <w:rsid w:val="007D5B44"/>
    <w:rsid w:val="007E32F2"/>
    <w:rsid w:val="008045E4"/>
    <w:rsid w:val="00806764"/>
    <w:rsid w:val="008101B1"/>
    <w:rsid w:val="008176FD"/>
    <w:rsid w:val="008215FF"/>
    <w:rsid w:val="008238D5"/>
    <w:rsid w:val="00831494"/>
    <w:rsid w:val="00842A8B"/>
    <w:rsid w:val="008430DD"/>
    <w:rsid w:val="00846DFA"/>
    <w:rsid w:val="00866E79"/>
    <w:rsid w:val="008733D5"/>
    <w:rsid w:val="008754CF"/>
    <w:rsid w:val="0088437F"/>
    <w:rsid w:val="008863C9"/>
    <w:rsid w:val="008928ED"/>
    <w:rsid w:val="008A218F"/>
    <w:rsid w:val="008D2A29"/>
    <w:rsid w:val="008D4780"/>
    <w:rsid w:val="008D6832"/>
    <w:rsid w:val="008E647D"/>
    <w:rsid w:val="009010D4"/>
    <w:rsid w:val="00911245"/>
    <w:rsid w:val="0091468B"/>
    <w:rsid w:val="00926A12"/>
    <w:rsid w:val="00935506"/>
    <w:rsid w:val="00940CC7"/>
    <w:rsid w:val="00942136"/>
    <w:rsid w:val="00950F62"/>
    <w:rsid w:val="00962130"/>
    <w:rsid w:val="00965988"/>
    <w:rsid w:val="00976054"/>
    <w:rsid w:val="009815B0"/>
    <w:rsid w:val="00987AF2"/>
    <w:rsid w:val="009A03EE"/>
    <w:rsid w:val="009A4ACE"/>
    <w:rsid w:val="009A6D3E"/>
    <w:rsid w:val="009B0D55"/>
    <w:rsid w:val="009B61FD"/>
    <w:rsid w:val="009C04F6"/>
    <w:rsid w:val="009D20E7"/>
    <w:rsid w:val="009E090F"/>
    <w:rsid w:val="009E68C1"/>
    <w:rsid w:val="009F644A"/>
    <w:rsid w:val="00A00050"/>
    <w:rsid w:val="00A11FE8"/>
    <w:rsid w:val="00A127CB"/>
    <w:rsid w:val="00A156F8"/>
    <w:rsid w:val="00A2104C"/>
    <w:rsid w:val="00A23769"/>
    <w:rsid w:val="00A266AE"/>
    <w:rsid w:val="00A360FC"/>
    <w:rsid w:val="00A368AF"/>
    <w:rsid w:val="00A576F6"/>
    <w:rsid w:val="00A578C2"/>
    <w:rsid w:val="00A6297C"/>
    <w:rsid w:val="00A67C5D"/>
    <w:rsid w:val="00A70F3F"/>
    <w:rsid w:val="00A853DD"/>
    <w:rsid w:val="00A86504"/>
    <w:rsid w:val="00AA7E29"/>
    <w:rsid w:val="00AB4796"/>
    <w:rsid w:val="00AC0651"/>
    <w:rsid w:val="00AC3346"/>
    <w:rsid w:val="00AC3F97"/>
    <w:rsid w:val="00AC4532"/>
    <w:rsid w:val="00AC749F"/>
    <w:rsid w:val="00AD0D47"/>
    <w:rsid w:val="00AD1887"/>
    <w:rsid w:val="00AD3F4E"/>
    <w:rsid w:val="00AD475D"/>
    <w:rsid w:val="00AE042B"/>
    <w:rsid w:val="00AE19E8"/>
    <w:rsid w:val="00AF14AA"/>
    <w:rsid w:val="00AF3F55"/>
    <w:rsid w:val="00B22CC1"/>
    <w:rsid w:val="00B42039"/>
    <w:rsid w:val="00B5020A"/>
    <w:rsid w:val="00B5367C"/>
    <w:rsid w:val="00B65BD8"/>
    <w:rsid w:val="00B667FD"/>
    <w:rsid w:val="00B74A9A"/>
    <w:rsid w:val="00BA303F"/>
    <w:rsid w:val="00BA39BA"/>
    <w:rsid w:val="00BA79D0"/>
    <w:rsid w:val="00BB0800"/>
    <w:rsid w:val="00BD29D1"/>
    <w:rsid w:val="00BF1C53"/>
    <w:rsid w:val="00BF5EA3"/>
    <w:rsid w:val="00C052BC"/>
    <w:rsid w:val="00C16CCD"/>
    <w:rsid w:val="00C25839"/>
    <w:rsid w:val="00C25D62"/>
    <w:rsid w:val="00C2648A"/>
    <w:rsid w:val="00C34BA5"/>
    <w:rsid w:val="00C41E23"/>
    <w:rsid w:val="00C459DB"/>
    <w:rsid w:val="00C47638"/>
    <w:rsid w:val="00C4793E"/>
    <w:rsid w:val="00C8736F"/>
    <w:rsid w:val="00CA1BCD"/>
    <w:rsid w:val="00CA4A74"/>
    <w:rsid w:val="00CA76A9"/>
    <w:rsid w:val="00CD4286"/>
    <w:rsid w:val="00CD5D74"/>
    <w:rsid w:val="00CE2459"/>
    <w:rsid w:val="00D137B5"/>
    <w:rsid w:val="00D26B1B"/>
    <w:rsid w:val="00D4749C"/>
    <w:rsid w:val="00D62C37"/>
    <w:rsid w:val="00D71356"/>
    <w:rsid w:val="00D759FC"/>
    <w:rsid w:val="00D75BF4"/>
    <w:rsid w:val="00D81921"/>
    <w:rsid w:val="00D83909"/>
    <w:rsid w:val="00D95D58"/>
    <w:rsid w:val="00DA2B2B"/>
    <w:rsid w:val="00DC0E93"/>
    <w:rsid w:val="00DD2942"/>
    <w:rsid w:val="00DD6B47"/>
    <w:rsid w:val="00DD6CEC"/>
    <w:rsid w:val="00DD735C"/>
    <w:rsid w:val="00DD7413"/>
    <w:rsid w:val="00DE1F29"/>
    <w:rsid w:val="00DE52E0"/>
    <w:rsid w:val="00DE6DDF"/>
    <w:rsid w:val="00E12679"/>
    <w:rsid w:val="00E2017E"/>
    <w:rsid w:val="00E33A8F"/>
    <w:rsid w:val="00E340A3"/>
    <w:rsid w:val="00E360E8"/>
    <w:rsid w:val="00E40F7B"/>
    <w:rsid w:val="00E47618"/>
    <w:rsid w:val="00E6111E"/>
    <w:rsid w:val="00E63692"/>
    <w:rsid w:val="00E74DAE"/>
    <w:rsid w:val="00E813CC"/>
    <w:rsid w:val="00E85BA3"/>
    <w:rsid w:val="00E85E7A"/>
    <w:rsid w:val="00E93337"/>
    <w:rsid w:val="00EA13A7"/>
    <w:rsid w:val="00EB389E"/>
    <w:rsid w:val="00EE662A"/>
    <w:rsid w:val="00EF0F51"/>
    <w:rsid w:val="00EF1BEE"/>
    <w:rsid w:val="00EF5B62"/>
    <w:rsid w:val="00F2028A"/>
    <w:rsid w:val="00F279DD"/>
    <w:rsid w:val="00F35675"/>
    <w:rsid w:val="00F3694A"/>
    <w:rsid w:val="00F478C6"/>
    <w:rsid w:val="00F53D97"/>
    <w:rsid w:val="00F54F37"/>
    <w:rsid w:val="00F62929"/>
    <w:rsid w:val="00F6585C"/>
    <w:rsid w:val="00F73CB6"/>
    <w:rsid w:val="00F94F8B"/>
    <w:rsid w:val="00F967AC"/>
    <w:rsid w:val="00FA4724"/>
    <w:rsid w:val="00FA537D"/>
    <w:rsid w:val="00FA66B3"/>
    <w:rsid w:val="00FB7970"/>
    <w:rsid w:val="00FC36A6"/>
    <w:rsid w:val="00FC6920"/>
    <w:rsid w:val="00FC6921"/>
    <w:rsid w:val="00FD1AD7"/>
    <w:rsid w:val="00FD244B"/>
    <w:rsid w:val="00FD6742"/>
    <w:rsid w:val="00FE6C4A"/>
    <w:rsid w:val="00FF082B"/>
    <w:rsid w:val="00FF5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6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367C"/>
    <w:rPr>
      <w:sz w:val="18"/>
      <w:szCs w:val="18"/>
    </w:rPr>
  </w:style>
  <w:style w:type="paragraph" w:styleId="a4">
    <w:name w:val="footer"/>
    <w:basedOn w:val="a"/>
    <w:link w:val="Char0"/>
    <w:uiPriority w:val="99"/>
    <w:unhideWhenUsed/>
    <w:rsid w:val="00B5367C"/>
    <w:pPr>
      <w:tabs>
        <w:tab w:val="center" w:pos="4153"/>
        <w:tab w:val="right" w:pos="8306"/>
      </w:tabs>
      <w:snapToGrid w:val="0"/>
      <w:jc w:val="left"/>
    </w:pPr>
    <w:rPr>
      <w:sz w:val="18"/>
      <w:szCs w:val="18"/>
    </w:rPr>
  </w:style>
  <w:style w:type="character" w:customStyle="1" w:styleId="Char0">
    <w:name w:val="页脚 Char"/>
    <w:basedOn w:val="a0"/>
    <w:link w:val="a4"/>
    <w:uiPriority w:val="99"/>
    <w:rsid w:val="00B53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6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367C"/>
    <w:rPr>
      <w:sz w:val="18"/>
      <w:szCs w:val="18"/>
    </w:rPr>
  </w:style>
  <w:style w:type="paragraph" w:styleId="a4">
    <w:name w:val="footer"/>
    <w:basedOn w:val="a"/>
    <w:link w:val="Char0"/>
    <w:uiPriority w:val="99"/>
    <w:unhideWhenUsed/>
    <w:rsid w:val="00B5367C"/>
    <w:pPr>
      <w:tabs>
        <w:tab w:val="center" w:pos="4153"/>
        <w:tab w:val="right" w:pos="8306"/>
      </w:tabs>
      <w:snapToGrid w:val="0"/>
      <w:jc w:val="left"/>
    </w:pPr>
    <w:rPr>
      <w:sz w:val="18"/>
      <w:szCs w:val="18"/>
    </w:rPr>
  </w:style>
  <w:style w:type="character" w:customStyle="1" w:styleId="Char0">
    <w:name w:val="页脚 Char"/>
    <w:basedOn w:val="a0"/>
    <w:link w:val="a4"/>
    <w:uiPriority w:val="99"/>
    <w:rsid w:val="00B53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zbzx-erke</dc:creator>
  <cp:keywords/>
  <dc:description/>
  <cp:lastModifiedBy>zbzx-erke</cp:lastModifiedBy>
  <cp:revision>4</cp:revision>
  <dcterms:created xsi:type="dcterms:W3CDTF">2020-09-08T03:34:00Z</dcterms:created>
  <dcterms:modified xsi:type="dcterms:W3CDTF">2020-09-08T03:35:00Z</dcterms:modified>
</cp:coreProperties>
</file>