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BA" w:rsidRDefault="00DD7F3D">
      <w:pPr>
        <w:spacing w:line="460" w:lineRule="exact"/>
        <w:ind w:firstLineChars="200" w:firstLine="883"/>
        <w:jc w:val="center"/>
        <w:rPr>
          <w:b/>
          <w:bCs/>
          <w:sz w:val="44"/>
          <w:szCs w:val="44"/>
        </w:rPr>
      </w:pPr>
      <w:bookmarkStart w:id="0" w:name="_Toc26902_WPSOffice_Level1"/>
      <w:r>
        <w:rPr>
          <w:rFonts w:hint="eastAsia"/>
          <w:b/>
          <w:bCs/>
          <w:sz w:val="44"/>
          <w:szCs w:val="44"/>
        </w:rPr>
        <w:t>井口耐磨封闭装置技术</w:t>
      </w:r>
      <w:bookmarkEnd w:id="0"/>
      <w:r w:rsidR="0048548F">
        <w:rPr>
          <w:rFonts w:hint="eastAsia"/>
          <w:b/>
          <w:bCs/>
          <w:sz w:val="44"/>
          <w:szCs w:val="44"/>
        </w:rPr>
        <w:t>要求</w:t>
      </w:r>
    </w:p>
    <w:p w:rsidR="006444BA" w:rsidRDefault="006444BA">
      <w:pPr>
        <w:spacing w:line="400" w:lineRule="exact"/>
        <w:ind w:firstLine="420"/>
        <w:rPr>
          <w:b/>
          <w:bCs/>
          <w:sz w:val="30"/>
          <w:szCs w:val="30"/>
        </w:rPr>
      </w:pPr>
      <w:bookmarkStart w:id="1" w:name="_Toc12275_WPSOffice_Level2"/>
    </w:p>
    <w:p w:rsidR="006444BA" w:rsidRDefault="00DD7F3D">
      <w:pPr>
        <w:spacing w:line="400" w:lineRule="exact"/>
        <w:ind w:firstLine="42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、范围</w:t>
      </w:r>
      <w:bookmarkEnd w:id="1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本技术</w:t>
      </w:r>
      <w:r w:rsidR="004B7908"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规定了井口耐磨封闭装置的结构型式、材质、售后服务、标志、包装、运输等。</w:t>
      </w:r>
    </w:p>
    <w:p w:rsidR="006444BA" w:rsidRDefault="00DD7F3D">
      <w:pPr>
        <w:numPr>
          <w:ilvl w:val="0"/>
          <w:numId w:val="1"/>
        </w:numPr>
        <w:spacing w:line="400" w:lineRule="exact"/>
        <w:ind w:firstLine="42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规范性引用文件</w:t>
      </w:r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下列文件对于本技术</w:t>
      </w:r>
      <w:r w:rsidR="004B7908"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的应用是不可少的。凡是注日期的引用文件，仅所注日期的版本适用于本文件。凡是不注日期的运用文件，其最新版本（包括所有的修改单）适用于本文件。</w:t>
      </w:r>
    </w:p>
    <w:p w:rsidR="006444BA" w:rsidRDefault="00DD7F3D">
      <w:pPr>
        <w:spacing w:line="400" w:lineRule="exact"/>
        <w:ind w:firstLineChars="300" w:firstLine="720"/>
        <w:rPr>
          <w:rFonts w:ascii="Times New Roman" w:eastAsia="微软雅黑" w:hAnsi="Times New Roman" w:cs="Times New Roman"/>
          <w:sz w:val="24"/>
        </w:rPr>
      </w:pPr>
      <w:bookmarkStart w:id="2" w:name="_Toc12275_WPSOffice_Level3"/>
      <w:r>
        <w:rPr>
          <w:rFonts w:ascii="Times New Roman" w:eastAsia="微软雅黑" w:hAnsi="Times New Roman" w:cs="Times New Roman"/>
          <w:sz w:val="24"/>
        </w:rPr>
        <w:t>GB/T 699</w:t>
      </w:r>
      <w:r>
        <w:rPr>
          <w:rFonts w:ascii="Times New Roman" w:eastAsia="微软雅黑" w:hAnsi="Times New Roman" w:cs="Times New Roman" w:hint="eastAsia"/>
          <w:sz w:val="24"/>
        </w:rPr>
        <w:t>-2015</w:t>
      </w:r>
      <w:r>
        <w:rPr>
          <w:rFonts w:ascii="Times New Roman" w:eastAsia="微软雅黑" w:hAnsi="Times New Roman" w:cs="Times New Roman"/>
          <w:sz w:val="24"/>
        </w:rPr>
        <w:t xml:space="preserve"> </w:t>
      </w:r>
      <w:r>
        <w:rPr>
          <w:rFonts w:ascii="Times New Roman" w:eastAsia="微软雅黑" w:hAnsi="Times New Roman" w:cs="Times New Roman"/>
          <w:sz w:val="24"/>
        </w:rPr>
        <w:t>优质碳素结构钢</w:t>
      </w:r>
    </w:p>
    <w:p w:rsidR="006444BA" w:rsidRDefault="00230698" w:rsidP="00511D3E">
      <w:pPr>
        <w:tabs>
          <w:tab w:val="left" w:pos="1136"/>
        </w:tabs>
        <w:spacing w:line="400" w:lineRule="exact"/>
        <w:ind w:firstLineChars="300" w:firstLine="630"/>
        <w:rPr>
          <w:rFonts w:ascii="Times New Roman" w:eastAsia="微软雅黑" w:hAnsi="Times New Roman" w:cs="Times New Roman"/>
          <w:sz w:val="24"/>
        </w:rPr>
      </w:pPr>
      <w:hyperlink r:id="rId9" w:tgtFrame="http://www.csres.com/_blank" w:history="1">
        <w:r w:rsidR="00DD7F3D">
          <w:rPr>
            <w:rFonts w:ascii="Times New Roman" w:eastAsia="微软雅黑" w:hAnsi="Times New Roman" w:cs="Times New Roman"/>
            <w:sz w:val="24"/>
          </w:rPr>
          <w:t>GB/T 1222-2016</w:t>
        </w:r>
      </w:hyperlink>
      <w:r w:rsidR="00DD7F3D">
        <w:rPr>
          <w:rFonts w:ascii="Times New Roman" w:eastAsia="微软雅黑" w:hAnsi="Times New Roman" w:cs="Times New Roman"/>
          <w:sz w:val="24"/>
        </w:rPr>
        <w:t xml:space="preserve"> </w:t>
      </w:r>
      <w:r w:rsidR="00DD7F3D">
        <w:rPr>
          <w:rFonts w:ascii="Times New Roman" w:eastAsia="微软雅黑" w:hAnsi="Times New Roman" w:cs="Times New Roman"/>
          <w:sz w:val="24"/>
        </w:rPr>
        <w:t>弹簧钢</w:t>
      </w:r>
    </w:p>
    <w:p w:rsidR="006444BA" w:rsidRDefault="00230698" w:rsidP="00511D3E">
      <w:pPr>
        <w:tabs>
          <w:tab w:val="left" w:pos="1136"/>
        </w:tabs>
        <w:spacing w:line="400" w:lineRule="exact"/>
        <w:ind w:firstLineChars="300" w:firstLine="630"/>
        <w:rPr>
          <w:rFonts w:ascii="Times New Roman" w:eastAsia="微软雅黑" w:hAnsi="Times New Roman" w:cs="Times New Roman"/>
          <w:sz w:val="24"/>
        </w:rPr>
      </w:pPr>
      <w:hyperlink r:id="rId10" w:tgtFrame="http://www.csres.com/_blank" w:history="1">
        <w:r w:rsidR="00DD7F3D">
          <w:rPr>
            <w:rFonts w:ascii="Times New Roman" w:eastAsia="微软雅黑" w:hAnsi="Times New Roman" w:cs="Times New Roman"/>
            <w:sz w:val="24"/>
          </w:rPr>
          <w:t>GB/T 5213</w:t>
        </w:r>
      </w:hyperlink>
      <w:r w:rsidR="00DD7F3D">
        <w:rPr>
          <w:rFonts w:ascii="Times New Roman" w:eastAsia="微软雅黑" w:hAnsi="Times New Roman" w:cs="Times New Roman"/>
          <w:sz w:val="24"/>
        </w:rPr>
        <w:t xml:space="preserve"> </w:t>
      </w:r>
      <w:r w:rsidR="00DD7F3D">
        <w:rPr>
          <w:rFonts w:ascii="Times New Roman" w:eastAsia="微软雅黑" w:hAnsi="Times New Roman" w:cs="Times New Roman"/>
          <w:sz w:val="24"/>
        </w:rPr>
        <w:t>冷轧低碳钢板及钢带</w:t>
      </w:r>
    </w:p>
    <w:p w:rsidR="006444BA" w:rsidRDefault="00DD7F3D">
      <w:pPr>
        <w:tabs>
          <w:tab w:val="left" w:pos="1136"/>
        </w:tabs>
        <w:spacing w:line="400" w:lineRule="exact"/>
        <w:ind w:firstLineChars="300" w:firstLine="720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 xml:space="preserve">GB/T 13404 </w:t>
      </w:r>
      <w:r>
        <w:rPr>
          <w:rFonts w:ascii="Times New Roman" w:eastAsia="微软雅黑" w:hAnsi="Times New Roman" w:cs="Times New Roman" w:hint="eastAsia"/>
          <w:sz w:val="24"/>
        </w:rPr>
        <w:t>管法兰用非金属聚四氟乙烯包覆垫片</w:t>
      </w:r>
    </w:p>
    <w:p w:rsidR="006444BA" w:rsidRDefault="00DD7F3D">
      <w:pPr>
        <w:tabs>
          <w:tab w:val="left" w:pos="1136"/>
        </w:tabs>
        <w:spacing w:line="400" w:lineRule="exact"/>
        <w:ind w:leftChars="342" w:left="718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 xml:space="preserve">SY/T 6662.3 </w:t>
      </w:r>
      <w:r>
        <w:rPr>
          <w:rFonts w:ascii="Times New Roman" w:eastAsia="微软雅黑" w:hAnsi="Times New Roman" w:cs="Times New Roman" w:hint="eastAsia"/>
          <w:sz w:val="24"/>
        </w:rPr>
        <w:t>石油天然气工业用非金属复合管</w:t>
      </w:r>
      <w:r>
        <w:rPr>
          <w:rFonts w:ascii="Times New Roman" w:eastAsia="微软雅黑" w:hAnsi="Times New Roman" w:cs="Times New Roman" w:hint="eastAsia"/>
          <w:sz w:val="24"/>
        </w:rPr>
        <w:t xml:space="preserve"> </w:t>
      </w:r>
      <w:r>
        <w:rPr>
          <w:rFonts w:ascii="Times New Roman" w:eastAsia="微软雅黑" w:hAnsi="Times New Roman" w:cs="Times New Roman" w:hint="eastAsia"/>
          <w:sz w:val="24"/>
        </w:rPr>
        <w:t>第</w:t>
      </w:r>
      <w:r>
        <w:rPr>
          <w:rFonts w:ascii="Times New Roman" w:eastAsia="微软雅黑" w:hAnsi="Times New Roman" w:cs="Times New Roman" w:hint="eastAsia"/>
          <w:sz w:val="24"/>
        </w:rPr>
        <w:t>3</w:t>
      </w:r>
      <w:r>
        <w:rPr>
          <w:rFonts w:ascii="Times New Roman" w:eastAsia="微软雅黑" w:hAnsi="Times New Roman" w:cs="Times New Roman" w:hint="eastAsia"/>
          <w:sz w:val="24"/>
        </w:rPr>
        <w:t>部分：增强</w:t>
      </w:r>
      <w:r>
        <w:rPr>
          <w:rFonts w:ascii="Times New Roman" w:eastAsia="微软雅黑" w:hAnsi="Times New Roman" w:cs="Times New Roman" w:hint="eastAsia"/>
          <w:sz w:val="24"/>
        </w:rPr>
        <w:t>MC</w:t>
      </w:r>
      <w:r>
        <w:rPr>
          <w:rFonts w:ascii="Times New Roman" w:eastAsia="微软雅黑" w:hAnsi="Times New Roman" w:cs="Times New Roman" w:hint="eastAsia"/>
          <w:sz w:val="24"/>
        </w:rPr>
        <w:t>尼龙管和尼龙</w:t>
      </w:r>
      <w:r>
        <w:rPr>
          <w:rFonts w:ascii="Times New Roman" w:eastAsia="微软雅黑" w:hAnsi="Times New Roman" w:cs="Times New Roman" w:hint="eastAsia"/>
          <w:sz w:val="24"/>
        </w:rPr>
        <w:t>-</w:t>
      </w:r>
      <w:r>
        <w:rPr>
          <w:rFonts w:ascii="Times New Roman" w:eastAsia="微软雅黑" w:hAnsi="Times New Roman" w:cs="Times New Roman" w:hint="eastAsia"/>
          <w:sz w:val="24"/>
        </w:rPr>
        <w:t>钢复合管</w:t>
      </w:r>
    </w:p>
    <w:p w:rsidR="006444BA" w:rsidRDefault="00DD7F3D">
      <w:pPr>
        <w:tabs>
          <w:tab w:val="left" w:pos="1136"/>
        </w:tabs>
        <w:spacing w:line="400" w:lineRule="exact"/>
        <w:ind w:leftChars="342" w:left="718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 xml:space="preserve">SY/T 5715-2016 </w:t>
      </w:r>
      <w:r>
        <w:rPr>
          <w:rFonts w:ascii="Times New Roman" w:eastAsia="微软雅黑" w:hAnsi="Times New Roman" w:cs="Times New Roman" w:hint="eastAsia"/>
          <w:sz w:val="24"/>
        </w:rPr>
        <w:t>石油天然气工业用碳钢、合金钢、不锈钢和镍基合金铸件。</w:t>
      </w:r>
    </w:p>
    <w:p w:rsidR="006444BA" w:rsidRDefault="00DD7F3D">
      <w:pPr>
        <w:tabs>
          <w:tab w:val="left" w:pos="1136"/>
        </w:tabs>
        <w:spacing w:line="400" w:lineRule="exact"/>
        <w:ind w:leftChars="342" w:left="718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 xml:space="preserve">SY/T 7418-2018 </w:t>
      </w:r>
      <w:r>
        <w:rPr>
          <w:rFonts w:ascii="Times New Roman" w:eastAsia="微软雅黑" w:hAnsi="Times New Roman" w:cs="Times New Roman" w:hint="eastAsia"/>
          <w:sz w:val="24"/>
        </w:rPr>
        <w:t>抽油杆螺纹量规校准方法</w:t>
      </w:r>
    </w:p>
    <w:p w:rsidR="006444BA" w:rsidRDefault="00DD7F3D">
      <w:pPr>
        <w:tabs>
          <w:tab w:val="left" w:pos="1136"/>
        </w:tabs>
        <w:spacing w:line="400" w:lineRule="exact"/>
        <w:ind w:leftChars="342" w:left="718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>GB/T 15339</w:t>
      </w:r>
      <w:r>
        <w:rPr>
          <w:rFonts w:ascii="Times New Roman" w:eastAsia="微软雅黑" w:hAnsi="Times New Roman" w:cs="Times New Roman" w:hint="eastAsia"/>
          <w:sz w:val="24"/>
        </w:rPr>
        <w:t>橡胶配合剂</w:t>
      </w:r>
      <w:r>
        <w:rPr>
          <w:rFonts w:ascii="Times New Roman" w:eastAsia="微软雅黑" w:hAnsi="Times New Roman" w:cs="Times New Roman"/>
          <w:sz w:val="24"/>
        </w:rPr>
        <w:t xml:space="preserve"> </w:t>
      </w:r>
      <w:r>
        <w:rPr>
          <w:rFonts w:ascii="Times New Roman" w:eastAsia="微软雅黑" w:hAnsi="Times New Roman" w:cs="Times New Roman" w:hint="eastAsia"/>
          <w:sz w:val="24"/>
        </w:rPr>
        <w:t>炭黑</w:t>
      </w:r>
      <w:r>
        <w:rPr>
          <w:rFonts w:ascii="Times New Roman" w:eastAsia="微软雅黑" w:hAnsi="Times New Roman" w:cs="Times New Roman" w:hint="eastAsia"/>
          <w:sz w:val="24"/>
        </w:rPr>
        <w:t xml:space="preserve"> </w:t>
      </w:r>
      <w:r>
        <w:rPr>
          <w:rFonts w:ascii="Times New Roman" w:eastAsia="微软雅黑" w:hAnsi="Times New Roman" w:cs="Times New Roman" w:hint="eastAsia"/>
          <w:sz w:val="24"/>
        </w:rPr>
        <w:t>在丁腈橡胶中的鉴定方法</w:t>
      </w:r>
    </w:p>
    <w:p w:rsidR="006444BA" w:rsidRDefault="00DD7F3D">
      <w:pPr>
        <w:spacing w:line="400" w:lineRule="exact"/>
        <w:ind w:firstLine="420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、结构型式</w:t>
      </w:r>
      <w:bookmarkEnd w:id="2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井口耐磨封闭装置为断杆放喷装置，由连接部分、推进部分、密封部分（包括断杆放喷装置）、封井部分、</w:t>
      </w:r>
      <w:proofErr w:type="gramStart"/>
      <w:r>
        <w:rPr>
          <w:rFonts w:hint="eastAsia"/>
          <w:sz w:val="28"/>
          <w:szCs w:val="28"/>
        </w:rPr>
        <w:t>调偏部分</w:t>
      </w:r>
      <w:proofErr w:type="gramEnd"/>
      <w:r>
        <w:rPr>
          <w:rFonts w:hint="eastAsia"/>
          <w:sz w:val="28"/>
          <w:szCs w:val="28"/>
        </w:rPr>
        <w:t>组成，相关材料等，参照附件产品结构示意图。</w:t>
      </w:r>
      <w:bookmarkStart w:id="3" w:name="_Toc3853_WPSOffice_Level3"/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3.1 基本参数</w:t>
      </w:r>
      <w:bookmarkEnd w:id="3"/>
    </w:p>
    <w:tbl>
      <w:tblPr>
        <w:tblStyle w:val="a5"/>
        <w:tblpPr w:leftFromText="180" w:rightFromText="180" w:vertAnchor="text" w:horzAnchor="page" w:tblpX="1542" w:tblpY="422"/>
        <w:tblOverlap w:val="never"/>
        <w:tblW w:w="9018" w:type="dxa"/>
        <w:tblLayout w:type="fixed"/>
        <w:tblLook w:val="04A0" w:firstRow="1" w:lastRow="0" w:firstColumn="1" w:lastColumn="0" w:noHBand="0" w:noVBand="1"/>
      </w:tblPr>
      <w:tblGrid>
        <w:gridCol w:w="1372"/>
        <w:gridCol w:w="651"/>
        <w:gridCol w:w="1286"/>
        <w:gridCol w:w="909"/>
        <w:gridCol w:w="994"/>
        <w:gridCol w:w="960"/>
        <w:gridCol w:w="2846"/>
      </w:tblGrid>
      <w:tr w:rsidR="006444BA">
        <w:tc>
          <w:tcPr>
            <w:tcW w:w="1372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bookmarkStart w:id="4" w:name="_Toc3853_WPSOffice_Level2"/>
            <w:r>
              <w:rPr>
                <w:rFonts w:hint="eastAsia"/>
                <w:b/>
                <w:bCs/>
                <w:szCs w:val="21"/>
              </w:rPr>
              <w:t>型号</w:t>
            </w:r>
          </w:p>
        </w:tc>
        <w:tc>
          <w:tcPr>
            <w:tcW w:w="651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内径</w:t>
            </w:r>
          </w:p>
        </w:tc>
        <w:tc>
          <w:tcPr>
            <w:tcW w:w="1286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外形尺寸</w:t>
            </w:r>
          </w:p>
        </w:tc>
        <w:tc>
          <w:tcPr>
            <w:tcW w:w="909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总重量</w:t>
            </w:r>
          </w:p>
        </w:tc>
        <w:tc>
          <w:tcPr>
            <w:tcW w:w="994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最大工作压力</w:t>
            </w:r>
          </w:p>
        </w:tc>
        <w:tc>
          <w:tcPr>
            <w:tcW w:w="960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最高工作温度</w:t>
            </w:r>
          </w:p>
        </w:tc>
        <w:tc>
          <w:tcPr>
            <w:tcW w:w="2846" w:type="dxa"/>
          </w:tcPr>
          <w:p w:rsidR="006444BA" w:rsidRDefault="00DD7F3D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连接配合型式</w:t>
            </w:r>
          </w:p>
        </w:tc>
      </w:tr>
      <w:tr w:rsidR="006444BA">
        <w:trPr>
          <w:trHeight w:hRule="exact" w:val="1307"/>
        </w:trPr>
        <w:tc>
          <w:tcPr>
            <w:tcW w:w="1372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25-40-3</w:t>
            </w:r>
          </w:p>
        </w:tc>
        <w:tc>
          <w:tcPr>
            <w:tcW w:w="651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25mm</w:t>
            </w:r>
          </w:p>
        </w:tc>
        <w:tc>
          <w:tcPr>
            <w:tcW w:w="1286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Φ170×426</w:t>
            </w:r>
          </w:p>
        </w:tc>
        <w:tc>
          <w:tcPr>
            <w:tcW w:w="909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约32kg</w:t>
            </w:r>
          </w:p>
        </w:tc>
        <w:tc>
          <w:tcPr>
            <w:tcW w:w="994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20Mpa</w:t>
            </w:r>
          </w:p>
        </w:tc>
        <w:tc>
          <w:tcPr>
            <w:tcW w:w="960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120℃</w:t>
            </w:r>
          </w:p>
        </w:tc>
        <w:tc>
          <w:tcPr>
            <w:tcW w:w="2846" w:type="dxa"/>
          </w:tcPr>
          <w:p w:rsidR="006444BA" w:rsidRDefault="00DD7F3D">
            <w:pPr>
              <w:spacing w:line="300" w:lineRule="exact"/>
              <w:rPr>
                <w:rFonts w:ascii="宋体" w:eastAsia="宋体" w:hAnsi="宋体" w:cs="宋体"/>
                <w:spacing w:val="28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Cs w:val="21"/>
              </w:rPr>
              <w:t>井口螺纹为2 7/8、1:6，每时10·牙，牙型角60°（自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Cs w:val="21"/>
              </w:rPr>
              <w:t>密封性锥管</w:t>
            </w:r>
            <w:proofErr w:type="gramEnd"/>
            <w:r>
              <w:rPr>
                <w:rFonts w:ascii="宋体" w:eastAsia="宋体" w:hAnsi="宋体" w:cs="宋体" w:hint="eastAsia"/>
                <w:spacing w:val="6"/>
                <w:szCs w:val="21"/>
              </w:rPr>
              <w:t>螺纹）：卡箍，钢圈为Φ2.5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Cs w:val="21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pacing w:val="6"/>
                <w:szCs w:val="21"/>
              </w:rPr>
              <w:t>、Φ3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Cs w:val="21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pacing w:val="6"/>
                <w:szCs w:val="21"/>
              </w:rPr>
              <w:t>。</w:t>
            </w:r>
          </w:p>
          <w:p w:rsidR="006444BA" w:rsidRDefault="006444BA">
            <w:pPr>
              <w:spacing w:line="4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444BA">
        <w:trPr>
          <w:trHeight w:hRule="exact" w:val="1401"/>
        </w:trPr>
        <w:tc>
          <w:tcPr>
            <w:tcW w:w="1372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CJHJ-Y36-3</w:t>
            </w:r>
          </w:p>
        </w:tc>
        <w:tc>
          <w:tcPr>
            <w:tcW w:w="651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36mm</w:t>
            </w:r>
          </w:p>
        </w:tc>
        <w:tc>
          <w:tcPr>
            <w:tcW w:w="1286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Φ170×426</w:t>
            </w:r>
          </w:p>
        </w:tc>
        <w:tc>
          <w:tcPr>
            <w:tcW w:w="909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约32kg</w:t>
            </w:r>
          </w:p>
        </w:tc>
        <w:tc>
          <w:tcPr>
            <w:tcW w:w="994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20Mpa</w:t>
            </w:r>
          </w:p>
        </w:tc>
        <w:tc>
          <w:tcPr>
            <w:tcW w:w="960" w:type="dxa"/>
            <w:vAlign w:val="center"/>
          </w:tcPr>
          <w:p w:rsidR="006444BA" w:rsidRDefault="00DD7F3D">
            <w:pPr>
              <w:spacing w:line="4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120℃</w:t>
            </w:r>
          </w:p>
        </w:tc>
        <w:tc>
          <w:tcPr>
            <w:tcW w:w="2846" w:type="dxa"/>
          </w:tcPr>
          <w:p w:rsidR="006444BA" w:rsidRDefault="00DD7F3D">
            <w:pPr>
              <w:spacing w:line="300" w:lineRule="exact"/>
              <w:rPr>
                <w:rFonts w:ascii="宋体" w:eastAsia="宋体" w:hAnsi="宋体" w:cs="宋体"/>
                <w:spacing w:val="28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Cs w:val="21"/>
              </w:rPr>
              <w:t>井口螺纹为2 7/8、1:6，每时10·牙，牙型角60°（自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Cs w:val="21"/>
              </w:rPr>
              <w:t>密封性锥管</w:t>
            </w:r>
            <w:proofErr w:type="gramEnd"/>
            <w:r>
              <w:rPr>
                <w:rFonts w:ascii="宋体" w:eastAsia="宋体" w:hAnsi="宋体" w:cs="宋体" w:hint="eastAsia"/>
                <w:spacing w:val="6"/>
                <w:szCs w:val="21"/>
              </w:rPr>
              <w:t>螺纹）：卡箍，钢圈为Φ2.5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Cs w:val="21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pacing w:val="6"/>
                <w:szCs w:val="21"/>
              </w:rPr>
              <w:t>、Φ3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Cs w:val="21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spacing w:val="6"/>
                <w:szCs w:val="21"/>
              </w:rPr>
              <w:t>。</w:t>
            </w:r>
          </w:p>
          <w:p w:rsidR="006444BA" w:rsidRDefault="006444BA">
            <w:pPr>
              <w:spacing w:line="4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DD7F3D">
      <w:pPr>
        <w:spacing w:line="42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3.2 材质</w:t>
      </w:r>
    </w:p>
    <w:tbl>
      <w:tblPr>
        <w:tblStyle w:val="a5"/>
        <w:tblpPr w:leftFromText="180" w:rightFromText="180" w:vertAnchor="text" w:horzAnchor="page" w:tblpX="2879" w:tblpY="237"/>
        <w:tblOverlap w:val="never"/>
        <w:tblW w:w="6462" w:type="dxa"/>
        <w:tblLayout w:type="fixed"/>
        <w:tblLook w:val="04A0" w:firstRow="1" w:lastRow="0" w:firstColumn="1" w:lastColumn="0" w:noHBand="0" w:noVBand="1"/>
      </w:tblPr>
      <w:tblGrid>
        <w:gridCol w:w="2417"/>
        <w:gridCol w:w="1405"/>
        <w:gridCol w:w="1320"/>
        <w:gridCol w:w="1320"/>
      </w:tblGrid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密封部件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丁腈胶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加力杆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六角螺栓</w:t>
            </w:r>
            <w:r>
              <w:rPr>
                <w:rFonts w:hint="eastAsia"/>
                <w:szCs w:val="21"/>
              </w:rPr>
              <w:t xml:space="preserve">M16 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 xml:space="preserve"> 65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低碳钢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盘根盒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平垫圈</w:t>
            </w:r>
            <w:r>
              <w:rPr>
                <w:rFonts w:hint="eastAsia"/>
                <w:szCs w:val="21"/>
              </w:rPr>
              <w:t xml:space="preserve"> GB/T  95  16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低碳钢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密封推进器部件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中合金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弹簧垫圈</w:t>
            </w:r>
            <w:r>
              <w:rPr>
                <w:rFonts w:hint="eastAsia"/>
                <w:szCs w:val="21"/>
              </w:rPr>
              <w:t xml:space="preserve"> 16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低碳钢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固定帽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盲帽</w:t>
            </w:r>
            <w:proofErr w:type="gramEnd"/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调整轴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压缩弹簧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弹簧钢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内六角圆柱头螺钉</w:t>
            </w:r>
            <w:r>
              <w:rPr>
                <w:rFonts w:hint="eastAsia"/>
                <w:szCs w:val="21"/>
              </w:rPr>
              <w:t>M5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低碳钢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弹簧端板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螺母</w:t>
            </w:r>
            <w:r>
              <w:rPr>
                <w:rFonts w:hint="eastAsia"/>
                <w:szCs w:val="21"/>
              </w:rPr>
              <w:t>M5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低碳钢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防喷球体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尼龙</w:t>
            </w:r>
            <w:r>
              <w:rPr>
                <w:rFonts w:hint="eastAsia"/>
                <w:szCs w:val="21"/>
              </w:rPr>
              <w:t xml:space="preserve"> - 6/6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扶正套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尼龙</w:t>
            </w:r>
            <w:r>
              <w:rPr>
                <w:rFonts w:hint="eastAsia"/>
                <w:szCs w:val="21"/>
              </w:rPr>
              <w:t xml:space="preserve"> - 6/6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四氟垫</w:t>
            </w:r>
            <w:proofErr w:type="gramEnd"/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74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聚四氟乙烯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盘根</w:t>
            </w:r>
            <w:proofErr w:type="gramStart"/>
            <w:r>
              <w:rPr>
                <w:rFonts w:hint="eastAsia"/>
                <w:szCs w:val="21"/>
              </w:rPr>
              <w:t>盒主体</w:t>
            </w:r>
            <w:proofErr w:type="gramEnd"/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中合金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压缩弹簧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弹簧钢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浮动球体</w:t>
            </w:r>
          </w:p>
        </w:tc>
        <w:tc>
          <w:tcPr>
            <w:tcW w:w="1320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号钢</w:t>
            </w:r>
          </w:p>
        </w:tc>
      </w:tr>
      <w:tr w:rsidR="006444BA">
        <w:trPr>
          <w:trHeight w:hRule="exact" w:val="312"/>
        </w:trPr>
        <w:tc>
          <w:tcPr>
            <w:tcW w:w="2417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底座焊件</w:t>
            </w:r>
          </w:p>
        </w:tc>
        <w:tc>
          <w:tcPr>
            <w:tcW w:w="1405" w:type="dxa"/>
            <w:vAlign w:val="center"/>
          </w:tcPr>
          <w:p w:rsidR="006444BA" w:rsidRDefault="00DD7F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中合金</w:t>
            </w:r>
          </w:p>
        </w:tc>
        <w:tc>
          <w:tcPr>
            <w:tcW w:w="1320" w:type="dxa"/>
            <w:vAlign w:val="center"/>
          </w:tcPr>
          <w:p w:rsidR="006444BA" w:rsidRDefault="006444BA">
            <w:pPr>
              <w:jc w:val="left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444BA" w:rsidRDefault="006444BA">
            <w:pPr>
              <w:jc w:val="left"/>
              <w:rPr>
                <w:szCs w:val="21"/>
              </w:rPr>
            </w:pPr>
          </w:p>
        </w:tc>
      </w:tr>
    </w:tbl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ind w:firstLine="420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DD7F3D">
      <w:pPr>
        <w:spacing w:line="400" w:lineRule="exact"/>
        <w:ind w:firstLine="42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、要求</w:t>
      </w:r>
      <w:bookmarkEnd w:id="4"/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5" w:name="_Toc20832_WPSOffice_Level3"/>
      <w:r>
        <w:rPr>
          <w:rFonts w:ascii="宋体" w:eastAsia="宋体" w:hAnsi="宋体" w:cs="宋体" w:hint="eastAsia"/>
          <w:sz w:val="28"/>
          <w:szCs w:val="28"/>
        </w:rPr>
        <w:t>4.1 一般要求</w:t>
      </w:r>
      <w:bookmarkEnd w:id="5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井口</w:t>
      </w:r>
      <w:r>
        <w:rPr>
          <w:rFonts w:hint="eastAsia"/>
          <w:sz w:val="28"/>
          <w:szCs w:val="28"/>
        </w:rPr>
        <w:t>耐磨密封</w:t>
      </w:r>
      <w:r>
        <w:rPr>
          <w:sz w:val="28"/>
          <w:szCs w:val="28"/>
        </w:rPr>
        <w:t>装置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按规定图样及技术文件加工制造。所有的材料符合图样规定的材料</w:t>
      </w:r>
      <w:proofErr w:type="gramStart"/>
      <w:r>
        <w:rPr>
          <w:sz w:val="28"/>
          <w:szCs w:val="28"/>
        </w:rPr>
        <w:t>牌号委求</w:t>
      </w:r>
      <w:proofErr w:type="gramEnd"/>
      <w:r>
        <w:rPr>
          <w:sz w:val="28"/>
          <w:szCs w:val="28"/>
        </w:rPr>
        <w:t>,</w:t>
      </w:r>
      <w:r>
        <w:rPr>
          <w:sz w:val="28"/>
          <w:szCs w:val="28"/>
        </w:rPr>
        <w:t>允许用机械性能和防腐性能不低于</w:t>
      </w:r>
      <w:r>
        <w:rPr>
          <w:rFonts w:hint="eastAsia"/>
          <w:sz w:val="28"/>
          <w:szCs w:val="28"/>
        </w:rPr>
        <w:t>本技术</w:t>
      </w:r>
      <w:r w:rsidR="004B7908">
        <w:rPr>
          <w:rFonts w:hint="eastAsia"/>
          <w:sz w:val="28"/>
          <w:szCs w:val="28"/>
        </w:rPr>
        <w:t>要求</w:t>
      </w:r>
      <w:r>
        <w:rPr>
          <w:sz w:val="28"/>
          <w:szCs w:val="28"/>
        </w:rPr>
        <w:t>设计质量要求的其它材料代用。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6" w:name="_Toc13506_WPSOffice_Level3"/>
      <w:r>
        <w:rPr>
          <w:rFonts w:ascii="宋体" w:eastAsia="宋体" w:hAnsi="宋体" w:cs="宋体" w:hint="eastAsia"/>
          <w:sz w:val="28"/>
          <w:szCs w:val="28"/>
        </w:rPr>
        <w:t>4.2 外观</w:t>
      </w:r>
      <w:bookmarkEnd w:id="6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表面进行发黑处理，应光滑、平整、无毛刺。焊接部位无夹渣、无砂眼、无气孔。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7" w:name="_Toc8188_WPSOffice_Level3"/>
      <w:r>
        <w:rPr>
          <w:rFonts w:ascii="宋体" w:eastAsia="宋体" w:hAnsi="宋体" w:cs="宋体" w:hint="eastAsia"/>
          <w:sz w:val="28"/>
          <w:szCs w:val="28"/>
        </w:rPr>
        <w:t>4.3 密封性能</w:t>
      </w:r>
      <w:bookmarkEnd w:id="7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工作压力范围内，不得渗漏。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8" w:name="_Toc8410_WPSOffice_Level3"/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.4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="宋体"/>
          <w:sz w:val="28"/>
          <w:szCs w:val="28"/>
        </w:rPr>
        <w:t>调偏性能</w:t>
      </w:r>
      <w:bookmarkEnd w:id="8"/>
      <w:proofErr w:type="gramEnd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应能随油井的偏斜量进行自动调整，调整径向范围为</w:t>
      </w:r>
      <w:r>
        <w:rPr>
          <w:sz w:val="28"/>
          <w:szCs w:val="28"/>
        </w:rPr>
        <w:t>0~25mm</w:t>
      </w:r>
      <w:r>
        <w:rPr>
          <w:sz w:val="28"/>
          <w:szCs w:val="28"/>
        </w:rPr>
        <w:t>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9" w:name="_Toc3721_WPSOffice_Level3"/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.5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连接性能</w:t>
      </w:r>
      <w:bookmarkEnd w:id="9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与井口连接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配合可靠。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0" w:name="_Toc3285_WPSOffice_Level3"/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.6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="宋体"/>
          <w:sz w:val="28"/>
          <w:szCs w:val="28"/>
        </w:rPr>
        <w:t>断杆防喷</w:t>
      </w:r>
      <w:proofErr w:type="gramEnd"/>
      <w:r>
        <w:rPr>
          <w:rFonts w:ascii="宋体" w:eastAsia="宋体" w:hAnsi="宋体" w:cs="宋体"/>
          <w:sz w:val="28"/>
          <w:szCs w:val="28"/>
        </w:rPr>
        <w:t>性能</w:t>
      </w:r>
      <w:bookmarkEnd w:id="10"/>
    </w:p>
    <w:p w:rsidR="006444BA" w:rsidRDefault="00DD7F3D">
      <w:pPr>
        <w:spacing w:line="400" w:lineRule="exac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当发生断杆时，防井喷密封装置应能自动封闭井口。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1" w:name="_Toc13147_WPSOffice_Level3"/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.7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在线更换密封填料性能</w:t>
      </w:r>
      <w:bookmarkEnd w:id="11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工作中，更换密封填料时，油井系统不需泄压。</w:t>
      </w:r>
    </w:p>
    <w:p w:rsidR="006444BA" w:rsidRDefault="00DD7F3D">
      <w:pPr>
        <w:spacing w:line="400" w:lineRule="exact"/>
        <w:ind w:firstLine="420"/>
        <w:rPr>
          <w:b/>
          <w:bCs/>
          <w:sz w:val="30"/>
          <w:szCs w:val="30"/>
        </w:rPr>
      </w:pPr>
      <w:bookmarkStart w:id="12" w:name="_Toc20832_WPSOffice_Level2"/>
      <w:r>
        <w:rPr>
          <w:rFonts w:hint="eastAsia"/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、产品性能</w:t>
      </w:r>
      <w:bookmarkEnd w:id="12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bookmarkStart w:id="13" w:name="_Toc13624_WPSOffice_Level3"/>
      <w:r>
        <w:rPr>
          <w:rFonts w:hint="eastAsia"/>
          <w:sz w:val="28"/>
          <w:szCs w:val="28"/>
        </w:rPr>
        <w:t>井口耐磨封闭装置出厂前应进行下列性能试验，试验合格后方可出厂。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5.1 密封性能</w:t>
      </w:r>
      <w:bookmarkEnd w:id="13"/>
      <w:r>
        <w:rPr>
          <w:rFonts w:ascii="宋体" w:eastAsia="宋体" w:hAnsi="宋体" w:cs="宋体" w:hint="eastAsia"/>
          <w:sz w:val="28"/>
          <w:szCs w:val="28"/>
        </w:rPr>
        <w:t>试验</w:t>
      </w:r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使用水压试验机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压力表量程</w:t>
      </w:r>
      <w:r>
        <w:rPr>
          <w:rFonts w:hint="eastAsia"/>
          <w:sz w:val="28"/>
          <w:szCs w:val="28"/>
        </w:rPr>
        <w:t>0~30Mpa</w:t>
      </w:r>
      <w:r>
        <w:rPr>
          <w:rFonts w:hint="eastAsia"/>
          <w:sz w:val="28"/>
          <w:szCs w:val="28"/>
        </w:rPr>
        <w:t>，精度不低于</w:t>
      </w:r>
      <w:r>
        <w:rPr>
          <w:rFonts w:hint="eastAsia"/>
          <w:sz w:val="28"/>
          <w:szCs w:val="28"/>
        </w:rPr>
        <w:t>0.5</w:t>
      </w:r>
      <w:r>
        <w:rPr>
          <w:rFonts w:hint="eastAsia"/>
          <w:sz w:val="28"/>
          <w:szCs w:val="28"/>
        </w:rPr>
        <w:t>，水温</w:t>
      </w:r>
      <w:r>
        <w:rPr>
          <w:rFonts w:hint="eastAsia"/>
          <w:sz w:val="28"/>
          <w:szCs w:val="28"/>
        </w:rPr>
        <w:t>5~40C)</w:t>
      </w:r>
      <w:r>
        <w:rPr>
          <w:rFonts w:hint="eastAsia"/>
          <w:sz w:val="28"/>
          <w:szCs w:val="28"/>
        </w:rPr>
        <w:t>，当压力达到</w:t>
      </w:r>
      <w:r>
        <w:rPr>
          <w:rFonts w:hint="eastAsia"/>
          <w:sz w:val="28"/>
          <w:szCs w:val="28"/>
        </w:rPr>
        <w:t>20Mpa</w:t>
      </w:r>
      <w:r>
        <w:rPr>
          <w:rFonts w:hint="eastAsia"/>
          <w:sz w:val="28"/>
          <w:szCs w:val="28"/>
        </w:rPr>
        <w:t>时，保压</w:t>
      </w:r>
      <w:r>
        <w:rPr>
          <w:rFonts w:hint="eastAsia"/>
          <w:sz w:val="28"/>
          <w:szCs w:val="28"/>
        </w:rPr>
        <w:t xml:space="preserve">5min, </w:t>
      </w:r>
      <w:r>
        <w:rPr>
          <w:rFonts w:hint="eastAsia"/>
          <w:sz w:val="28"/>
          <w:szCs w:val="28"/>
        </w:rPr>
        <w:t>观察是否渗漏。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4" w:name="_Toc577_WPSOffice_Level3"/>
      <w:r>
        <w:rPr>
          <w:rFonts w:ascii="宋体" w:eastAsia="宋体" w:hAnsi="宋体" w:cs="宋体" w:hint="eastAsia"/>
          <w:sz w:val="28"/>
          <w:szCs w:val="28"/>
        </w:rPr>
        <w:t xml:space="preserve">5.2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调偏性能</w:t>
      </w:r>
      <w:bookmarkEnd w:id="14"/>
      <w:r>
        <w:rPr>
          <w:rFonts w:ascii="宋体" w:eastAsia="宋体" w:hAnsi="宋体" w:cs="宋体" w:hint="eastAsia"/>
          <w:sz w:val="28"/>
          <w:szCs w:val="28"/>
        </w:rPr>
        <w:t>试验</w:t>
      </w:r>
      <w:proofErr w:type="gramEnd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用</w:t>
      </w:r>
      <w:r>
        <w:rPr>
          <w:sz w:val="28"/>
          <w:szCs w:val="28"/>
        </w:rPr>
        <w:t>0.02mm</w:t>
      </w:r>
      <w:r>
        <w:rPr>
          <w:sz w:val="28"/>
          <w:szCs w:val="28"/>
        </w:rPr>
        <w:t>的游标卡尺测量</w:t>
      </w:r>
      <w:proofErr w:type="gramStart"/>
      <w:r>
        <w:rPr>
          <w:sz w:val="28"/>
          <w:szCs w:val="28"/>
        </w:rPr>
        <w:t>调偏器</w:t>
      </w:r>
      <w:proofErr w:type="gramEnd"/>
      <w:r>
        <w:rPr>
          <w:sz w:val="28"/>
          <w:szCs w:val="28"/>
        </w:rPr>
        <w:t>的调偏距离。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5" w:name="_Toc19063_WPSOffice_Level3"/>
      <w:r>
        <w:rPr>
          <w:rFonts w:ascii="宋体" w:eastAsia="宋体" w:hAnsi="宋体" w:cs="宋体" w:hint="eastAsia"/>
          <w:sz w:val="28"/>
          <w:szCs w:val="28"/>
        </w:rPr>
        <w:t>5.3 连接性能</w:t>
      </w:r>
      <w:bookmarkEnd w:id="15"/>
      <w:r>
        <w:rPr>
          <w:rFonts w:ascii="宋体" w:eastAsia="宋体" w:hAnsi="宋体" w:cs="宋体" w:hint="eastAsia"/>
          <w:sz w:val="28"/>
          <w:szCs w:val="28"/>
        </w:rPr>
        <w:t>试验</w:t>
      </w:r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对螺纹连接的用螺纹环</w:t>
      </w:r>
      <w:proofErr w:type="gramStart"/>
      <w:r>
        <w:rPr>
          <w:sz w:val="28"/>
          <w:szCs w:val="28"/>
        </w:rPr>
        <w:t>规</w:t>
      </w:r>
      <w:proofErr w:type="gramEnd"/>
      <w:r>
        <w:rPr>
          <w:sz w:val="28"/>
          <w:szCs w:val="28"/>
        </w:rPr>
        <w:t>测量</w:t>
      </w:r>
      <w:r>
        <w:rPr>
          <w:sz w:val="28"/>
          <w:szCs w:val="28"/>
        </w:rPr>
        <w:t>:</w:t>
      </w:r>
      <w:r>
        <w:rPr>
          <w:sz w:val="28"/>
          <w:szCs w:val="28"/>
        </w:rPr>
        <w:t>对卡箍连接的用</w:t>
      </w:r>
      <w:r>
        <w:rPr>
          <w:sz w:val="28"/>
          <w:szCs w:val="28"/>
        </w:rPr>
        <w:t>0.02mm</w:t>
      </w:r>
      <w:r>
        <w:rPr>
          <w:sz w:val="28"/>
          <w:szCs w:val="28"/>
        </w:rPr>
        <w:t>的游标卡尺测量。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6" w:name="_Toc11860_WPSOffice_Level3"/>
      <w:r>
        <w:rPr>
          <w:rFonts w:ascii="宋体" w:eastAsia="宋体" w:hAnsi="宋体" w:cs="宋体" w:hint="eastAsia"/>
          <w:sz w:val="28"/>
          <w:szCs w:val="28"/>
        </w:rPr>
        <w:t xml:space="preserve">5.4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断杆防喷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性能</w:t>
      </w:r>
      <w:bookmarkEnd w:id="16"/>
      <w:r>
        <w:rPr>
          <w:rFonts w:ascii="宋体" w:eastAsia="宋体" w:hAnsi="宋体" w:cs="宋体" w:hint="eastAsia"/>
          <w:sz w:val="28"/>
          <w:szCs w:val="28"/>
        </w:rPr>
        <w:t>试验</w:t>
      </w:r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手感检测，应灵活可靠。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7" w:name="_Toc11756_WPSOffice_Level3"/>
      <w:r>
        <w:rPr>
          <w:rFonts w:ascii="宋体" w:eastAsia="宋体" w:hAnsi="宋体" w:cs="宋体" w:hint="eastAsia"/>
          <w:sz w:val="28"/>
          <w:szCs w:val="28"/>
        </w:rPr>
        <w:t>5.5 更换密封填料性能</w:t>
      </w:r>
      <w:bookmarkEnd w:id="17"/>
      <w:r>
        <w:rPr>
          <w:rFonts w:ascii="宋体" w:eastAsia="宋体" w:hAnsi="宋体" w:cs="宋体" w:hint="eastAsia"/>
          <w:sz w:val="28"/>
          <w:szCs w:val="28"/>
        </w:rPr>
        <w:t>试验</w:t>
      </w:r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连接到井口上，手动操作，目测。</w:t>
      </w:r>
    </w:p>
    <w:p w:rsidR="006444BA" w:rsidRDefault="00DD7F3D">
      <w:pPr>
        <w:spacing w:line="400" w:lineRule="exact"/>
        <w:ind w:firstLine="420"/>
        <w:rPr>
          <w:b/>
          <w:bCs/>
          <w:sz w:val="30"/>
          <w:szCs w:val="30"/>
        </w:rPr>
      </w:pPr>
      <w:bookmarkStart w:id="18" w:name="_Toc13506_WPSOffice_Level2"/>
      <w:r>
        <w:rPr>
          <w:rFonts w:hint="eastAsia"/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、标志、包装、运输</w:t>
      </w:r>
      <w:bookmarkEnd w:id="18"/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19" w:name="_Toc19338_WPSOffice_Level3"/>
      <w:r>
        <w:rPr>
          <w:rFonts w:ascii="宋体" w:eastAsia="宋体" w:hAnsi="宋体" w:cs="宋体" w:hint="eastAsia"/>
          <w:sz w:val="28"/>
          <w:szCs w:val="28"/>
        </w:rPr>
        <w:t>6.1 标志</w:t>
      </w:r>
      <w:bookmarkEnd w:id="19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sz w:val="28"/>
          <w:szCs w:val="28"/>
        </w:rPr>
        <w:t>在产品的明显部位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设置标牌，标明</w:t>
      </w:r>
      <w:r>
        <w:rPr>
          <w:sz w:val="28"/>
          <w:szCs w:val="28"/>
        </w:rPr>
        <w:t>:</w:t>
      </w:r>
      <w:r>
        <w:rPr>
          <w:sz w:val="28"/>
          <w:szCs w:val="28"/>
        </w:rPr>
        <w:t>产品名称、型号、批号、生产日期、厂名、厂址、标准编号。</w:t>
      </w:r>
    </w:p>
    <w:p w:rsidR="006444BA" w:rsidRDefault="00DD7F3D">
      <w:pPr>
        <w:spacing w:line="400" w:lineRule="exact"/>
        <w:ind w:firstLine="420"/>
        <w:rPr>
          <w:sz w:val="28"/>
          <w:szCs w:val="28"/>
        </w:rPr>
      </w:pPr>
      <w:bookmarkStart w:id="20" w:name="_Toc949_WPSOffice_Level3"/>
      <w:r>
        <w:rPr>
          <w:rFonts w:ascii="宋体" w:eastAsia="宋体" w:hAnsi="宋体" w:cs="宋体" w:hint="eastAsia"/>
          <w:sz w:val="28"/>
          <w:szCs w:val="28"/>
        </w:rPr>
        <w:t>6.2 包装</w:t>
      </w:r>
      <w:bookmarkEnd w:id="20"/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.2.1产品本体</w:t>
      </w:r>
      <w:r>
        <w:rPr>
          <w:rFonts w:ascii="宋体" w:eastAsia="宋体" w:hAnsi="宋体" w:cs="宋体" w:hint="eastAsia"/>
          <w:sz w:val="28"/>
          <w:szCs w:val="28"/>
        </w:rPr>
        <w:t>应表面涂油、油纸包装</w:t>
      </w:r>
      <w:r>
        <w:rPr>
          <w:rFonts w:ascii="宋体" w:eastAsia="宋体" w:hAnsi="宋体" w:cs="宋体"/>
          <w:sz w:val="28"/>
          <w:szCs w:val="28"/>
        </w:rPr>
        <w:t>，然后用</w:t>
      </w:r>
      <w:r>
        <w:rPr>
          <w:rFonts w:ascii="宋体" w:eastAsia="宋体" w:hAnsi="宋体" w:cs="宋体" w:hint="eastAsia"/>
          <w:sz w:val="28"/>
          <w:szCs w:val="28"/>
        </w:rPr>
        <w:t>木</w:t>
      </w:r>
      <w:r>
        <w:rPr>
          <w:rFonts w:ascii="宋体" w:eastAsia="宋体" w:hAnsi="宋体" w:cs="宋体"/>
          <w:sz w:val="28"/>
          <w:szCs w:val="28"/>
        </w:rPr>
        <w:t>箱包装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.2.2产品包装箱内应附随机文件，包括:产品合格证、产品说明书、装箱清单。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bookmarkStart w:id="21" w:name="_Toc13718_WPSOffice_Level3"/>
      <w:r>
        <w:rPr>
          <w:rFonts w:ascii="宋体" w:eastAsia="宋体" w:hAnsi="宋体" w:cs="宋体" w:hint="eastAsia"/>
          <w:sz w:val="28"/>
          <w:szCs w:val="28"/>
        </w:rPr>
        <w:t>6.3 运输</w:t>
      </w:r>
      <w:bookmarkEnd w:id="21"/>
    </w:p>
    <w:p w:rsidR="006444BA" w:rsidRDefault="00DD7F3D">
      <w:pPr>
        <w:spacing w:line="400" w:lineRule="exact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产品运输时，支点不能少于三个，而且所有支点成直线，严禁碰撞、挤压，轻搬轻放。</w:t>
      </w:r>
    </w:p>
    <w:p w:rsidR="006444BA" w:rsidRDefault="00DD7F3D">
      <w:pPr>
        <w:spacing w:line="400" w:lineRule="exact"/>
        <w:ind w:left="420"/>
        <w:rPr>
          <w:b/>
          <w:bCs/>
          <w:sz w:val="30"/>
          <w:szCs w:val="30"/>
        </w:rPr>
      </w:pPr>
      <w:bookmarkStart w:id="22" w:name="_Toc8188_WPSOffice_Level2"/>
      <w:r>
        <w:rPr>
          <w:rFonts w:hint="eastAsia"/>
          <w:b/>
          <w:bCs/>
          <w:sz w:val="30"/>
          <w:szCs w:val="30"/>
        </w:rPr>
        <w:t>7</w:t>
      </w:r>
      <w:r>
        <w:rPr>
          <w:rFonts w:hint="eastAsia"/>
          <w:b/>
          <w:bCs/>
          <w:sz w:val="30"/>
          <w:szCs w:val="30"/>
        </w:rPr>
        <w:t>、售后服务</w:t>
      </w:r>
      <w:bookmarkEnd w:id="22"/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7.1 质保期24个月。</w:t>
      </w:r>
    </w:p>
    <w:p w:rsidR="006444BA" w:rsidRDefault="00DD7F3D">
      <w:pPr>
        <w:spacing w:line="40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7.2 产品质量实行三包</w:t>
      </w:r>
      <w:r w:rsidR="004B7908">
        <w:rPr>
          <w:rFonts w:ascii="宋体" w:eastAsia="宋体" w:hAnsi="宋体" w:cs="宋体" w:hint="eastAsia"/>
          <w:sz w:val="28"/>
          <w:szCs w:val="28"/>
        </w:rPr>
        <w:t>(</w:t>
      </w:r>
      <w:r w:rsidR="004B7908">
        <w:rPr>
          <w:rFonts w:ascii="宋体" w:eastAsia="宋体" w:hAnsi="宋体" w:cs="宋体" w:hint="eastAsia"/>
          <w:sz w:val="28"/>
          <w:szCs w:val="28"/>
        </w:rPr>
        <w:t>免费</w:t>
      </w:r>
      <w:r w:rsidR="004B7908">
        <w:rPr>
          <w:rFonts w:ascii="宋体" w:eastAsia="宋体" w:hAnsi="宋体" w:cs="宋体" w:hint="eastAsia"/>
          <w:sz w:val="28"/>
          <w:szCs w:val="28"/>
        </w:rPr>
        <w:t>更换</w:t>
      </w:r>
      <w:r w:rsidR="004B7908">
        <w:rPr>
          <w:rFonts w:ascii="宋体" w:eastAsia="宋体" w:hAnsi="宋体" w:cs="宋体" w:hint="eastAsia"/>
          <w:sz w:val="28"/>
          <w:szCs w:val="28"/>
        </w:rPr>
        <w:t>盘根</w:t>
      </w:r>
      <w:r w:rsidR="004B7908"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444BA" w:rsidRDefault="00DD7F3D">
      <w:pPr>
        <w:spacing w:line="400" w:lineRule="exact"/>
        <w:ind w:firstLine="420"/>
        <w:rPr>
          <w:b/>
          <w:bCs/>
          <w:sz w:val="30"/>
          <w:szCs w:val="30"/>
        </w:rPr>
      </w:pPr>
      <w:bookmarkStart w:id="23" w:name="_Toc10364_WPSOffice_Level3"/>
      <w:r>
        <w:rPr>
          <w:rFonts w:hint="eastAsia"/>
          <w:b/>
          <w:bCs/>
          <w:sz w:val="30"/>
          <w:szCs w:val="30"/>
        </w:rPr>
        <w:t>8</w:t>
      </w:r>
      <w:r>
        <w:rPr>
          <w:rFonts w:hint="eastAsia"/>
          <w:b/>
          <w:bCs/>
          <w:sz w:val="30"/>
          <w:szCs w:val="30"/>
        </w:rPr>
        <w:t>、交货时间及地点</w:t>
      </w:r>
      <w:bookmarkEnd w:id="23"/>
    </w:p>
    <w:p w:rsidR="006444BA" w:rsidRDefault="00DD7F3D" w:rsidP="004B7908">
      <w:pPr>
        <w:spacing w:line="4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按实际需求计划交货时间执行，并送达指定地点。</w:t>
      </w: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rFonts w:hint="eastAsia"/>
          <w:b/>
          <w:bCs/>
          <w:sz w:val="28"/>
          <w:szCs w:val="28"/>
        </w:rPr>
      </w:pPr>
    </w:p>
    <w:p w:rsidR="004B7908" w:rsidRDefault="004B7908">
      <w:pPr>
        <w:spacing w:line="420" w:lineRule="exact"/>
        <w:rPr>
          <w:rFonts w:hint="eastAsia"/>
          <w:b/>
          <w:bCs/>
          <w:sz w:val="28"/>
          <w:szCs w:val="28"/>
        </w:rPr>
      </w:pPr>
    </w:p>
    <w:p w:rsidR="004B7908" w:rsidRDefault="004B7908">
      <w:pPr>
        <w:spacing w:line="420" w:lineRule="exact"/>
        <w:rPr>
          <w:rFonts w:hint="eastAsia"/>
          <w:b/>
          <w:bCs/>
          <w:sz w:val="28"/>
          <w:szCs w:val="28"/>
        </w:rPr>
      </w:pPr>
    </w:p>
    <w:p w:rsidR="004B7908" w:rsidRDefault="004B7908">
      <w:pPr>
        <w:spacing w:line="420" w:lineRule="exact"/>
        <w:rPr>
          <w:rFonts w:hint="eastAsia"/>
          <w:b/>
          <w:bCs/>
          <w:sz w:val="28"/>
          <w:szCs w:val="28"/>
        </w:rPr>
      </w:pPr>
    </w:p>
    <w:p w:rsidR="004B7908" w:rsidRDefault="004B7908">
      <w:pPr>
        <w:spacing w:line="420" w:lineRule="exact"/>
        <w:rPr>
          <w:rFonts w:hint="eastAsia"/>
          <w:b/>
          <w:bCs/>
          <w:sz w:val="28"/>
          <w:szCs w:val="28"/>
        </w:rPr>
      </w:pPr>
    </w:p>
    <w:p w:rsidR="004B7908" w:rsidRDefault="004B7908">
      <w:pPr>
        <w:spacing w:line="420" w:lineRule="exact"/>
        <w:rPr>
          <w:b/>
          <w:bCs/>
          <w:sz w:val="28"/>
          <w:szCs w:val="28"/>
        </w:rPr>
      </w:pPr>
    </w:p>
    <w:p w:rsidR="006444BA" w:rsidRDefault="00DD7F3D">
      <w:pPr>
        <w:spacing w:line="420" w:lineRule="exact"/>
        <w:rPr>
          <w:b/>
          <w:bCs/>
          <w:sz w:val="28"/>
          <w:szCs w:val="28"/>
        </w:rPr>
      </w:pPr>
      <w:bookmarkStart w:id="24" w:name="_GoBack"/>
      <w:bookmarkEnd w:id="24"/>
      <w:r>
        <w:rPr>
          <w:rFonts w:hint="eastAsia"/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100330</wp:posOffset>
            </wp:positionV>
            <wp:extent cx="5869940" cy="6126480"/>
            <wp:effectExtent l="0" t="0" r="0" b="12700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1"/>
                    <a:srcRect l="1907" t="12829" r="2143" b="535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6994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spacing w:line="420" w:lineRule="exact"/>
        <w:rPr>
          <w:b/>
          <w:bCs/>
          <w:sz w:val="30"/>
          <w:szCs w:val="30"/>
        </w:rPr>
      </w:pPr>
    </w:p>
    <w:p w:rsidR="006444BA" w:rsidRDefault="006444BA">
      <w:pPr>
        <w:jc w:val="center"/>
        <w:rPr>
          <w:b/>
          <w:bCs/>
          <w:sz w:val="28"/>
          <w:szCs w:val="28"/>
        </w:rPr>
      </w:pPr>
      <w:bookmarkStart w:id="25" w:name="_Toc8188_WPSOffice_Level1"/>
    </w:p>
    <w:p w:rsidR="006444BA" w:rsidRDefault="006444BA">
      <w:pPr>
        <w:jc w:val="center"/>
        <w:rPr>
          <w:b/>
          <w:bCs/>
          <w:sz w:val="28"/>
          <w:szCs w:val="28"/>
        </w:rPr>
      </w:pPr>
    </w:p>
    <w:p w:rsidR="006444BA" w:rsidRDefault="006444BA">
      <w:pPr>
        <w:jc w:val="center"/>
        <w:rPr>
          <w:b/>
          <w:bCs/>
          <w:sz w:val="28"/>
          <w:szCs w:val="28"/>
        </w:rPr>
      </w:pPr>
    </w:p>
    <w:p w:rsidR="006444BA" w:rsidRDefault="006444BA">
      <w:pPr>
        <w:jc w:val="center"/>
        <w:rPr>
          <w:b/>
          <w:bCs/>
          <w:sz w:val="28"/>
          <w:szCs w:val="28"/>
        </w:rPr>
      </w:pPr>
    </w:p>
    <w:p w:rsidR="006444BA" w:rsidRDefault="006444BA">
      <w:pPr>
        <w:jc w:val="center"/>
        <w:rPr>
          <w:b/>
          <w:bCs/>
          <w:sz w:val="28"/>
          <w:szCs w:val="28"/>
        </w:rPr>
      </w:pPr>
    </w:p>
    <w:p w:rsidR="006444BA" w:rsidRDefault="006444BA">
      <w:pPr>
        <w:jc w:val="center"/>
        <w:rPr>
          <w:b/>
          <w:bCs/>
          <w:sz w:val="28"/>
          <w:szCs w:val="28"/>
        </w:rPr>
      </w:pPr>
    </w:p>
    <w:p w:rsidR="006444BA" w:rsidRDefault="006444BA">
      <w:pPr>
        <w:jc w:val="center"/>
        <w:rPr>
          <w:b/>
          <w:bCs/>
          <w:sz w:val="28"/>
          <w:szCs w:val="28"/>
        </w:rPr>
      </w:pPr>
    </w:p>
    <w:p w:rsidR="006444BA" w:rsidRDefault="006444BA">
      <w:pPr>
        <w:rPr>
          <w:b/>
          <w:bCs/>
          <w:sz w:val="28"/>
          <w:szCs w:val="28"/>
        </w:rPr>
      </w:pPr>
    </w:p>
    <w:p w:rsidR="006444BA" w:rsidRDefault="00DD7F3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井口耐磨封闭装置结构示意图</w:t>
      </w:r>
    </w:p>
    <w:p w:rsidR="006444BA" w:rsidRDefault="00DD7F3D">
      <w:pPr>
        <w:rPr>
          <w:b/>
          <w:bCs/>
          <w:sz w:val="28"/>
          <w:szCs w:val="28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、浮动球体密封</w:t>
      </w: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、六角螺栓</w:t>
      </w:r>
      <w:r>
        <w:rPr>
          <w:rFonts w:hint="eastAsia"/>
          <w:szCs w:val="21"/>
        </w:rPr>
        <w:t xml:space="preserve">M16 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 65  3</w:t>
      </w:r>
      <w:r>
        <w:rPr>
          <w:rFonts w:hint="eastAsia"/>
          <w:szCs w:val="21"/>
        </w:rPr>
        <w:t>、平垫圈</w:t>
      </w:r>
      <w:r>
        <w:rPr>
          <w:rFonts w:hint="eastAsia"/>
          <w:szCs w:val="21"/>
        </w:rPr>
        <w:t xml:space="preserve"> GB/T  95  16  4</w:t>
      </w:r>
      <w:r>
        <w:rPr>
          <w:rFonts w:hint="eastAsia"/>
          <w:szCs w:val="21"/>
        </w:rPr>
        <w:t>、弹簧垫圈</w:t>
      </w:r>
      <w:r>
        <w:rPr>
          <w:rFonts w:hint="eastAsia"/>
          <w:szCs w:val="21"/>
        </w:rPr>
        <w:t xml:space="preserve"> 16  5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盲帽</w:t>
      </w:r>
      <w:proofErr w:type="gramEnd"/>
      <w:r>
        <w:rPr>
          <w:rFonts w:hint="eastAsia"/>
          <w:szCs w:val="21"/>
        </w:rPr>
        <w:t xml:space="preserve">  6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盲帽垫</w:t>
      </w:r>
      <w:proofErr w:type="gramEnd"/>
      <w:r>
        <w:rPr>
          <w:rFonts w:hint="eastAsia"/>
          <w:szCs w:val="21"/>
        </w:rPr>
        <w:t xml:space="preserve">  7</w:t>
      </w:r>
      <w:r>
        <w:rPr>
          <w:rFonts w:hint="eastAsia"/>
          <w:szCs w:val="21"/>
        </w:rPr>
        <w:t>、压缩弹簧</w:t>
      </w:r>
      <w:r>
        <w:rPr>
          <w:rFonts w:hint="eastAsia"/>
          <w:szCs w:val="21"/>
        </w:rPr>
        <w:t>1  8</w:t>
      </w:r>
      <w:r>
        <w:rPr>
          <w:rFonts w:hint="eastAsia"/>
          <w:szCs w:val="21"/>
        </w:rPr>
        <w:t>、弹簧端板</w:t>
      </w:r>
      <w:r>
        <w:rPr>
          <w:rFonts w:hint="eastAsia"/>
          <w:szCs w:val="21"/>
        </w:rPr>
        <w:t xml:space="preserve">  9</w:t>
      </w:r>
      <w:r>
        <w:rPr>
          <w:rFonts w:hint="eastAsia"/>
          <w:szCs w:val="21"/>
        </w:rPr>
        <w:t>、防喷球体</w:t>
      </w:r>
      <w:r>
        <w:rPr>
          <w:rFonts w:hint="eastAsia"/>
          <w:szCs w:val="21"/>
        </w:rPr>
        <w:t xml:space="preserve">  10</w:t>
      </w:r>
      <w:r>
        <w:rPr>
          <w:rFonts w:hint="eastAsia"/>
          <w:szCs w:val="21"/>
        </w:rPr>
        <w:t>、□型圈</w:t>
      </w:r>
      <w:r>
        <w:rPr>
          <w:rFonts w:hint="eastAsia"/>
          <w:szCs w:val="21"/>
        </w:rPr>
        <w:t>D80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3.5  11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四氟垫</w:t>
      </w:r>
      <w:proofErr w:type="gramEnd"/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74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1.5  12</w:t>
      </w:r>
      <w:r>
        <w:rPr>
          <w:rFonts w:hint="eastAsia"/>
          <w:szCs w:val="21"/>
        </w:rPr>
        <w:t>、主密封</w:t>
      </w:r>
      <w:r>
        <w:rPr>
          <w:rFonts w:hint="eastAsia"/>
          <w:szCs w:val="21"/>
        </w:rPr>
        <w:t xml:space="preserve">  13</w:t>
      </w:r>
      <w:r>
        <w:rPr>
          <w:rFonts w:hint="eastAsia"/>
          <w:szCs w:val="21"/>
        </w:rPr>
        <w:t>、压缩弹簧</w:t>
      </w:r>
      <w:r>
        <w:rPr>
          <w:rFonts w:hint="eastAsia"/>
          <w:szCs w:val="21"/>
        </w:rPr>
        <w:t>3  14</w:t>
      </w:r>
      <w:r>
        <w:rPr>
          <w:rFonts w:hint="eastAsia"/>
          <w:szCs w:val="21"/>
        </w:rPr>
        <w:t>、加力杆</w:t>
      </w:r>
      <w:r>
        <w:rPr>
          <w:rFonts w:hint="eastAsia"/>
          <w:szCs w:val="21"/>
        </w:rPr>
        <w:t xml:space="preserve">  15</w:t>
      </w:r>
      <w:r>
        <w:rPr>
          <w:rFonts w:hint="eastAsia"/>
          <w:szCs w:val="21"/>
        </w:rPr>
        <w:t>、盘根盒</w:t>
      </w:r>
      <w:r>
        <w:rPr>
          <w:rFonts w:hint="eastAsia"/>
          <w:szCs w:val="21"/>
        </w:rPr>
        <w:t xml:space="preserve">  16</w:t>
      </w:r>
      <w:r>
        <w:rPr>
          <w:rFonts w:hint="eastAsia"/>
          <w:szCs w:val="21"/>
        </w:rPr>
        <w:t>、密封推进器</w:t>
      </w:r>
      <w:r>
        <w:rPr>
          <w:rFonts w:hint="eastAsia"/>
          <w:szCs w:val="21"/>
        </w:rPr>
        <w:t xml:space="preserve">  17</w:t>
      </w:r>
      <w:r>
        <w:rPr>
          <w:rFonts w:hint="eastAsia"/>
          <w:szCs w:val="21"/>
        </w:rPr>
        <w:t>、固定帽</w:t>
      </w:r>
      <w:r>
        <w:rPr>
          <w:rFonts w:hint="eastAsia"/>
          <w:szCs w:val="21"/>
        </w:rPr>
        <w:t xml:space="preserve">  18</w:t>
      </w:r>
      <w:r>
        <w:rPr>
          <w:rFonts w:hint="eastAsia"/>
          <w:szCs w:val="21"/>
        </w:rPr>
        <w:t>、调整轴</w:t>
      </w:r>
      <w:r>
        <w:rPr>
          <w:rFonts w:hint="eastAsia"/>
          <w:szCs w:val="21"/>
        </w:rPr>
        <w:t xml:space="preserve">  19</w:t>
      </w:r>
      <w:r>
        <w:rPr>
          <w:rFonts w:hint="eastAsia"/>
          <w:szCs w:val="21"/>
        </w:rPr>
        <w:t>、内六角圆柱</w:t>
      </w:r>
      <w:r>
        <w:rPr>
          <w:rFonts w:hint="eastAsia"/>
          <w:szCs w:val="21"/>
        </w:rPr>
        <w:t xml:space="preserve">  20</w:t>
      </w:r>
      <w:r>
        <w:rPr>
          <w:rFonts w:hint="eastAsia"/>
          <w:szCs w:val="21"/>
        </w:rPr>
        <w:t>、螺母</w:t>
      </w:r>
      <w:r>
        <w:rPr>
          <w:rFonts w:hint="eastAsia"/>
          <w:szCs w:val="21"/>
        </w:rPr>
        <w:t>M5  21</w:t>
      </w:r>
      <w:r>
        <w:rPr>
          <w:rFonts w:hint="eastAsia"/>
          <w:szCs w:val="21"/>
        </w:rPr>
        <w:t>、扶正套</w:t>
      </w:r>
      <w:r>
        <w:rPr>
          <w:rFonts w:hint="eastAsia"/>
          <w:szCs w:val="21"/>
        </w:rPr>
        <w:t xml:space="preserve">  22</w:t>
      </w:r>
      <w:r>
        <w:rPr>
          <w:rFonts w:hint="eastAsia"/>
          <w:szCs w:val="21"/>
        </w:rPr>
        <w:t>、封井器密封</w:t>
      </w:r>
      <w:r>
        <w:rPr>
          <w:rFonts w:hint="eastAsia"/>
          <w:szCs w:val="21"/>
        </w:rPr>
        <w:t xml:space="preserve">  23</w:t>
      </w:r>
      <w:r>
        <w:rPr>
          <w:rFonts w:hint="eastAsia"/>
          <w:szCs w:val="21"/>
        </w:rPr>
        <w:t>、盘根</w:t>
      </w:r>
      <w:proofErr w:type="gramStart"/>
      <w:r>
        <w:rPr>
          <w:rFonts w:hint="eastAsia"/>
          <w:szCs w:val="21"/>
        </w:rPr>
        <w:t>盒主体</w:t>
      </w:r>
      <w:proofErr w:type="gramEnd"/>
      <w:r>
        <w:rPr>
          <w:rFonts w:hint="eastAsia"/>
          <w:szCs w:val="21"/>
        </w:rPr>
        <w:t xml:space="preserve">  24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调偏体</w:t>
      </w:r>
      <w:proofErr w:type="gramEnd"/>
      <w:r>
        <w:rPr>
          <w:rFonts w:hint="eastAsia"/>
          <w:szCs w:val="21"/>
        </w:rPr>
        <w:t>垫片</w:t>
      </w:r>
      <w:r>
        <w:rPr>
          <w:rFonts w:hint="eastAsia"/>
          <w:szCs w:val="21"/>
        </w:rPr>
        <w:t xml:space="preserve">  25</w:t>
      </w:r>
      <w:r>
        <w:rPr>
          <w:rFonts w:hint="eastAsia"/>
          <w:szCs w:val="21"/>
        </w:rPr>
        <w:t>、浮动球体</w:t>
      </w:r>
      <w:r>
        <w:rPr>
          <w:rFonts w:hint="eastAsia"/>
          <w:szCs w:val="21"/>
        </w:rPr>
        <w:t xml:space="preserve">  26</w:t>
      </w:r>
      <w:r>
        <w:rPr>
          <w:rFonts w:hint="eastAsia"/>
          <w:szCs w:val="21"/>
        </w:rPr>
        <w:t>、底座焊件</w:t>
      </w:r>
    </w:p>
    <w:bookmarkEnd w:id="25"/>
    <w:p w:rsidR="006444BA" w:rsidRDefault="006444BA">
      <w:pPr>
        <w:spacing w:line="420" w:lineRule="exact"/>
        <w:rPr>
          <w:b/>
          <w:bCs/>
          <w:sz w:val="28"/>
          <w:szCs w:val="28"/>
        </w:rPr>
      </w:pPr>
    </w:p>
    <w:sectPr w:rsidR="006444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98" w:rsidRDefault="00230698">
      <w:r>
        <w:separator/>
      </w:r>
    </w:p>
  </w:endnote>
  <w:endnote w:type="continuationSeparator" w:id="0">
    <w:p w:rsidR="00230698" w:rsidRDefault="0023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21" w:rsidRDefault="00EE0D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21" w:rsidRDefault="00EE0D2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21" w:rsidRDefault="00EE0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98" w:rsidRDefault="00230698">
      <w:r>
        <w:separator/>
      </w:r>
    </w:p>
  </w:footnote>
  <w:footnote w:type="continuationSeparator" w:id="0">
    <w:p w:rsidR="00230698" w:rsidRDefault="0023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21" w:rsidRDefault="00EE0D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BA" w:rsidRDefault="006444BA">
    <w:pPr>
      <w:pStyle w:val="a4"/>
      <w:tabs>
        <w:tab w:val="clear" w:pos="4153"/>
        <w:tab w:val="left" w:pos="879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21" w:rsidRDefault="00EE0D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B00B6"/>
    <w:multiLevelType w:val="singleLevel"/>
    <w:tmpl w:val="670B00B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1D32"/>
    <w:rsid w:val="00230698"/>
    <w:rsid w:val="00301364"/>
    <w:rsid w:val="0048548F"/>
    <w:rsid w:val="004969B6"/>
    <w:rsid w:val="004B7908"/>
    <w:rsid w:val="00511D3E"/>
    <w:rsid w:val="00512A9F"/>
    <w:rsid w:val="005B5537"/>
    <w:rsid w:val="006444BA"/>
    <w:rsid w:val="00DD7F3D"/>
    <w:rsid w:val="00EE0D21"/>
    <w:rsid w:val="02717758"/>
    <w:rsid w:val="02F14AC3"/>
    <w:rsid w:val="03321D4C"/>
    <w:rsid w:val="04ED168E"/>
    <w:rsid w:val="06E71D32"/>
    <w:rsid w:val="078D7F6A"/>
    <w:rsid w:val="0AF7345F"/>
    <w:rsid w:val="0B2779FD"/>
    <w:rsid w:val="0B9C2BB4"/>
    <w:rsid w:val="0F860092"/>
    <w:rsid w:val="12C424CE"/>
    <w:rsid w:val="154C3B74"/>
    <w:rsid w:val="16196EBB"/>
    <w:rsid w:val="162A6DD7"/>
    <w:rsid w:val="17B71581"/>
    <w:rsid w:val="189A5401"/>
    <w:rsid w:val="1ABF5314"/>
    <w:rsid w:val="1B8F3875"/>
    <w:rsid w:val="1BAE2736"/>
    <w:rsid w:val="1C9A3BDD"/>
    <w:rsid w:val="1FE76A12"/>
    <w:rsid w:val="203253DB"/>
    <w:rsid w:val="22783584"/>
    <w:rsid w:val="242D42D3"/>
    <w:rsid w:val="29552BBC"/>
    <w:rsid w:val="2AAB67EF"/>
    <w:rsid w:val="2C022CE6"/>
    <w:rsid w:val="2D7319FF"/>
    <w:rsid w:val="2E4C542B"/>
    <w:rsid w:val="2ED02FC2"/>
    <w:rsid w:val="305C1EBB"/>
    <w:rsid w:val="30BB7D03"/>
    <w:rsid w:val="33794769"/>
    <w:rsid w:val="342F5C2C"/>
    <w:rsid w:val="35FE407E"/>
    <w:rsid w:val="3CBC4C21"/>
    <w:rsid w:val="3F254FB1"/>
    <w:rsid w:val="418F2065"/>
    <w:rsid w:val="46E63830"/>
    <w:rsid w:val="4A053783"/>
    <w:rsid w:val="4AE475B8"/>
    <w:rsid w:val="4C420D57"/>
    <w:rsid w:val="4CA76F21"/>
    <w:rsid w:val="4CD9124F"/>
    <w:rsid w:val="53B77582"/>
    <w:rsid w:val="53E43C86"/>
    <w:rsid w:val="55055510"/>
    <w:rsid w:val="55745AD5"/>
    <w:rsid w:val="56DC311D"/>
    <w:rsid w:val="574B1C88"/>
    <w:rsid w:val="57C045EA"/>
    <w:rsid w:val="58465456"/>
    <w:rsid w:val="5B7B089F"/>
    <w:rsid w:val="5CAB7EA5"/>
    <w:rsid w:val="60497C97"/>
    <w:rsid w:val="60FB2791"/>
    <w:rsid w:val="61317387"/>
    <w:rsid w:val="624E03AE"/>
    <w:rsid w:val="6419166D"/>
    <w:rsid w:val="64BC3C58"/>
    <w:rsid w:val="65CC49FC"/>
    <w:rsid w:val="669B4B0C"/>
    <w:rsid w:val="692A51A9"/>
    <w:rsid w:val="6B2C5733"/>
    <w:rsid w:val="6CC162C9"/>
    <w:rsid w:val="6DB41C41"/>
    <w:rsid w:val="7228040A"/>
    <w:rsid w:val="727B3B3D"/>
    <w:rsid w:val="73042130"/>
    <w:rsid w:val="747C55D0"/>
    <w:rsid w:val="788C455E"/>
    <w:rsid w:val="789E6F8F"/>
    <w:rsid w:val="7989294A"/>
    <w:rsid w:val="7A7353F3"/>
    <w:rsid w:val="7F1B5EC2"/>
    <w:rsid w:val="7FB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styleId="a7">
    <w:name w:val="Balloon Text"/>
    <w:basedOn w:val="a"/>
    <w:link w:val="Char"/>
    <w:rsid w:val="00511D3E"/>
    <w:rPr>
      <w:sz w:val="18"/>
      <w:szCs w:val="18"/>
    </w:rPr>
  </w:style>
  <w:style w:type="character" w:customStyle="1" w:styleId="Char">
    <w:name w:val="批注框文本 Char"/>
    <w:basedOn w:val="a0"/>
    <w:link w:val="a7"/>
    <w:rsid w:val="00511D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styleId="a7">
    <w:name w:val="Balloon Text"/>
    <w:basedOn w:val="a"/>
    <w:link w:val="Char"/>
    <w:rsid w:val="00511D3E"/>
    <w:rPr>
      <w:sz w:val="18"/>
      <w:szCs w:val="18"/>
    </w:rPr>
  </w:style>
  <w:style w:type="character" w:customStyle="1" w:styleId="Char">
    <w:name w:val="批注框文本 Char"/>
    <w:basedOn w:val="a0"/>
    <w:link w:val="a7"/>
    <w:rsid w:val="00511D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sres.com/detail/195851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sres.com/detail/29224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4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翟帅兵</dc:creator>
  <cp:lastModifiedBy>赵晓春</cp:lastModifiedBy>
  <cp:revision>6</cp:revision>
  <cp:lastPrinted>2019-08-26T00:50:00Z</cp:lastPrinted>
  <dcterms:created xsi:type="dcterms:W3CDTF">2019-08-18T11:04:00Z</dcterms:created>
  <dcterms:modified xsi:type="dcterms:W3CDTF">2020-05-28T02:17:00Z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