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FA" w:rsidRPr="00125BFA" w:rsidRDefault="00125BFA" w:rsidP="00125BFA">
      <w:pPr>
        <w:widowControl/>
        <w:spacing w:line="360" w:lineRule="auto"/>
        <w:ind w:firstLine="315"/>
        <w:jc w:val="left"/>
        <w:rPr>
          <w:rFonts w:ascii="仿宋_GB2312" w:eastAsia="宋体" w:hAnsi="仿宋_GB2312" w:cs="Times New Roman"/>
          <w:b/>
          <w:bCs/>
          <w:kern w:val="0"/>
          <w:szCs w:val="21"/>
        </w:rPr>
      </w:pPr>
      <w:r w:rsidRPr="00125BFA">
        <w:rPr>
          <w:rFonts w:ascii="仿宋_GB2312" w:eastAsia="宋体" w:hAnsi="仿宋_GB2312" w:cs="Times New Roman"/>
          <w:b/>
          <w:bCs/>
          <w:kern w:val="0"/>
          <w:szCs w:val="21"/>
        </w:rPr>
        <w:t>主要技术要求或技术方案</w:t>
      </w:r>
    </w:p>
    <w:p w:rsidR="00125BFA" w:rsidRPr="00125BFA" w:rsidRDefault="00125BFA" w:rsidP="00125BFA">
      <w:pPr>
        <w:widowControl/>
        <w:snapToGrid w:val="0"/>
        <w:spacing w:line="360" w:lineRule="auto"/>
        <w:ind w:firstLine="420"/>
        <w:jc w:val="left"/>
        <w:rPr>
          <w:rFonts w:ascii="楷体" w:eastAsia="楷体" w:hAnsi="楷体" w:cs="Times New Roman"/>
          <w:kern w:val="0"/>
          <w:sz w:val="28"/>
          <w:szCs w:val="28"/>
        </w:rPr>
      </w:pPr>
      <w:r w:rsidRPr="00125BFA">
        <w:rPr>
          <w:rFonts w:ascii="楷体" w:eastAsia="楷体" w:hAnsi="楷体" w:cs="Times New Roman" w:hint="eastAsia"/>
          <w:kern w:val="0"/>
          <w:sz w:val="28"/>
          <w:szCs w:val="28"/>
        </w:rPr>
        <w:t>1、总体要求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 xml:space="preserve">（1）基于风险管理的科学原理和方法，系统的开展危害因素辨识工作，制定有效的安全管控要求，形成覆盖页岩气压裂项目部全生产要素的安全风险信息，建立动态管理和便于使用的安全风险信息库。 </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 xml:space="preserve">（2）基于系统的危害因素辨识成果，开发分级分类的隐患排查标准，建立隐患排查标准知识库。隐患排查标准需从页岩气压裂项目部业务实际出发，满足隐患排查治理工作的实际需求。 </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（3）基于危害因素辨识成果，分析页岩气压裂项目部各岗位安全风险管控培训需求，建立页岩气压裂项目部全员岗位培训需求矩阵。</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（4）基于危害因素辨识成果，结合岗位培训需求矩阵，建立针对各岗位的培训课程及考试试题，为页岩气压裂项目部提供教育培训资源。</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 xml:space="preserve">（5）本项目要求按照实际需求定制开发安全风险管控系统，充分考虑系统运行的稳定性基础，采用可视化操作，方便使用人员调用和操作。 </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 xml:space="preserve">（6）本项目系统开发不接受云部署方式，必须在本地部署发布。 </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2、安全技术咨询服务要求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（1）建立系统的危害因素辨识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系统的开展危害因素辨识，覆盖生产作业活动、检维修作业活动、生产工艺、操作程序、设备设施、场所环境等全部生产要素，输出具体、量化、可操作的危害因素辨识结果，建立安全风险信息库。</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范围包括：</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lastRenderedPageBreak/>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生产作业活动：设备转场、压前准备、压裂施工、酸化施工、计量校准、压裂车、罐车、仪表车、管汇车、混砂车、运输车等施工作业</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操作程序：设备转场、压前准备、压裂施工、酸化施工、计量校准、压裂车、罐车、仪表车、管汇车、混砂车、运输车等操作规程</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非常规作业活动：检维修作业、特殊作业等</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设备设施：压裂车、仪表车、管汇车、混砂车、混配车、平衡车、随车吊、酸罐、液罐、供液撬、砂囤、高压管线等</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工艺过程：水平井桥塞射孔联作分段压裂</w:t>
      </w:r>
    </w:p>
    <w:p w:rsidR="00125BFA" w:rsidRPr="00125BFA" w:rsidRDefault="00125BFA" w:rsidP="00125BFA">
      <w:pPr>
        <w:widowControl/>
        <w:spacing w:line="560" w:lineRule="atLeast"/>
        <w:ind w:left="900" w:hanging="420"/>
        <w:jc w:val="left"/>
        <w:rPr>
          <w:rFonts w:ascii="楷体" w:eastAsia="楷体" w:hAnsi="楷体" w:cs="Times New Roman" w:hint="eastAsia"/>
          <w:color w:val="000000"/>
          <w:spacing w:val="4"/>
          <w:kern w:val="0"/>
          <w:sz w:val="28"/>
          <w:szCs w:val="28"/>
        </w:rPr>
      </w:pPr>
      <w:r w:rsidRPr="00125BFA">
        <w:rPr>
          <w:rFonts w:ascii="Wingdings" w:eastAsia="宋体" w:hAnsi="Wingdings" w:cs="Times New Roman"/>
          <w:color w:val="000000"/>
          <w:spacing w:val="4"/>
          <w:kern w:val="0"/>
          <w:sz w:val="28"/>
          <w:szCs w:val="28"/>
        </w:rPr>
        <w:t></w:t>
      </w:r>
      <w:r w:rsidRPr="00125BFA">
        <w:rPr>
          <w:rFonts w:ascii="Wingdings" w:eastAsia="宋体" w:hAnsi="Wingdings" w:cs="Times New Roman"/>
          <w:color w:val="000000"/>
          <w:spacing w:val="4"/>
          <w:kern w:val="0"/>
          <w:sz w:val="28"/>
          <w:szCs w:val="28"/>
        </w:rPr>
        <w:t></w:t>
      </w:r>
      <w:r w:rsidRPr="00125BFA">
        <w:rPr>
          <w:rFonts w:ascii="楷体" w:eastAsia="楷体" w:hAnsi="楷体" w:cs="Times New Roman" w:hint="eastAsia"/>
          <w:color w:val="000000"/>
          <w:spacing w:val="4"/>
          <w:kern w:val="0"/>
          <w:sz w:val="28"/>
          <w:szCs w:val="28"/>
        </w:rPr>
        <w:t>场所环境：井场、道路交通、办公场所等</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投标人开展系统的危害因素辨识工作应具备清晰的思路和完善的方案，应包括技术路线和预期成果等。</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（2）建立分层级分类的隐患排查标准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基于危害因素辨识成果，开发隐患排查标准，并分解到页岩气压裂项目部不同岗位，形成分层级分类的隐患排查标准，建立隐患排查标准知识库。</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（3）建立岗位培训需求矩阵</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基于危害因素辨识成果，结合岗位职责、岗位管理单元、岗位操作单元等信息，分析页岩气压裂项目部各岗位安全风险管控培训需求，建立页岩气压裂项目部全员岗位培训需求矩阵。</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（4）建立培训课程及考试试题</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基于危害因素辨识成果，结合岗位培训需求矩阵，开发针对各岗位的培训课程及考试试题，建立全员安全风险管教育培训资源库。</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lastRenderedPageBreak/>
        <w:t>3、安全风险管控系统</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以系统的危害因素辨识成果为基础，利用信息化、移动互联网、移动终端等技术，开发安全风险管控系统。</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包括以下业务数据库：</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安全风险信息库</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隐患排查标准知识库</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教育培训资源库</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包括以下业务管理模块：</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安全风险信息管理</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隐患排查标准管理</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隐患排查治理</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教育培训管理</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移动管控APP</w:t>
      </w:r>
    </w:p>
    <w:p w:rsidR="00125BFA" w:rsidRPr="00125BFA" w:rsidRDefault="00125BFA" w:rsidP="00125BFA">
      <w:pPr>
        <w:widowControl/>
        <w:snapToGrid w:val="0"/>
        <w:spacing w:line="360" w:lineRule="auto"/>
        <w:ind w:left="840" w:hanging="131"/>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系统管理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（1）安全风险信息管理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开发安全风险信息管理模块，实现页岩气压裂项目部生产过程安全风险信息的查询、获取和动态管理。为页岩气压裂项目部进行风险分级管控、隐患排查治理、教育培训等提供安全风险、危害因素和控制要求等信息。</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（2）隐患排查标准管理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开发隐患排查标准管理模块，实现对安全咨询输出的分层级分类的隐患排查标准的动态管理，包括操作及相关作业、设备设施、工艺过程、非常规作业、场所环境等类别的隐患排查标准，为开展隐患排查工作提供标准依据。</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（3）隐患排查治理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lastRenderedPageBreak/>
        <w:t>基于隐患排查标准知识库，梳理页岩气压裂项目部安全隐患排查治理的管理流程，开发隐患排查治理模块，实现隐患排查治理的排查、上报、整改、复查、销案等智能闭环管理。。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（4）教育培训管理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依据岗位风险信息、岗位培训需求矩阵，开发教育培训管理功能，实现针对不同层级、不同岗位的教育培训，使各岗位人员掌握本岗位的安全风险、危害因素、控制要求等信息，熟知本岗位涉及的工艺控制、设备设施、生产作业等要求，提升页岩气压裂项目部各岗位的安全风险管控能力。</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（5）移动管控APP</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开发移动管控APP功能，相关业务人员利用移动终端（进入防爆区要求使用防爆移动终端）可以便捷的开展安全风险信息查询、隐患排查治理、教育培训管理等业务工作，相关管理人员可以实时查看相关业务信息。有效提高安全检查、隐患整治、教育培训等管控能力。</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（6）系统管理</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系统建立安全机制，所有系统使用人员必须被授权才能在其受权范围内使用系统，以确保系统和数据安全。系统管理功能包括：</w:t>
      </w:r>
    </w:p>
    <w:p w:rsidR="00125BFA" w:rsidRPr="00125BFA" w:rsidRDefault="00125BFA" w:rsidP="00125BFA">
      <w:pPr>
        <w:widowControl/>
        <w:snapToGrid w:val="0"/>
        <w:spacing w:line="360" w:lineRule="auto"/>
        <w:ind w:left="840" w:hanging="420"/>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组织机构、角色管理、用户管理等权限设置</w:t>
      </w:r>
    </w:p>
    <w:p w:rsidR="00125BFA" w:rsidRPr="00125BFA" w:rsidRDefault="00125BFA" w:rsidP="00125BFA">
      <w:pPr>
        <w:widowControl/>
        <w:snapToGrid w:val="0"/>
        <w:spacing w:line="360" w:lineRule="auto"/>
        <w:ind w:left="840" w:hanging="420"/>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数据库备份和恢复等数据管理维护</w:t>
      </w:r>
    </w:p>
    <w:p w:rsidR="00125BFA" w:rsidRPr="00125BFA" w:rsidRDefault="00125BFA" w:rsidP="00125BFA">
      <w:pPr>
        <w:widowControl/>
        <w:snapToGrid w:val="0"/>
        <w:spacing w:line="360" w:lineRule="auto"/>
        <w:ind w:left="840" w:hanging="420"/>
        <w:jc w:val="left"/>
        <w:rPr>
          <w:rFonts w:ascii="楷体" w:eastAsia="楷体" w:hAnsi="楷体" w:cs="Times New Roman" w:hint="eastAsia"/>
          <w:kern w:val="0"/>
          <w:sz w:val="28"/>
          <w:szCs w:val="28"/>
        </w:rPr>
      </w:pPr>
      <w:r w:rsidRPr="00125BFA">
        <w:rPr>
          <w:rFonts w:ascii="Wingdings" w:eastAsia="宋体" w:hAnsi="Wingdings" w:cs="Times New Roman"/>
          <w:kern w:val="0"/>
          <w:sz w:val="28"/>
          <w:szCs w:val="28"/>
        </w:rPr>
        <w:t></w:t>
      </w:r>
      <w:r w:rsidRPr="00125BFA">
        <w:rPr>
          <w:rFonts w:ascii="Wingdings" w:eastAsia="宋体" w:hAnsi="Wingdings" w:cs="Times New Roman"/>
          <w:kern w:val="0"/>
          <w:sz w:val="28"/>
          <w:szCs w:val="28"/>
        </w:rPr>
        <w:t></w:t>
      </w:r>
      <w:r w:rsidRPr="00125BFA">
        <w:rPr>
          <w:rFonts w:ascii="楷体" w:eastAsia="楷体" w:hAnsi="楷体" w:cs="Times New Roman" w:hint="eastAsia"/>
          <w:kern w:val="0"/>
          <w:sz w:val="28"/>
          <w:szCs w:val="28"/>
        </w:rPr>
        <w:t>用户操作日志、系统运行日志等的管理和维护</w:t>
      </w:r>
    </w:p>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4、系统性能要求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（1）稳定性和可靠性要求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系统应具备稳定性和可靠性；能够满足7*24小时长时间运行的稳定性，即使长时间高压力下运行释放压力后，各种资源能够顺利回收，系统一切运行指标正常。</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lastRenderedPageBreak/>
        <w:t>（2）易用性要求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软件操作界面符合用户使用习惯。</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（3）数据服务实时性要求</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动态数据实时刷新时间小于5秒钟。静态数据刷新小于１小时。</w:t>
      </w:r>
    </w:p>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5、系统运行平台附属设施</w:t>
      </w:r>
    </w:p>
    <w:p w:rsidR="00125BFA" w:rsidRPr="00125BFA" w:rsidRDefault="00125BFA" w:rsidP="00125BFA">
      <w:pPr>
        <w:widowControl/>
        <w:snapToGrid w:val="0"/>
        <w:spacing w:line="360" w:lineRule="auto"/>
        <w:ind w:firstLine="420"/>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根据系统部署的要求，需要配备必要的系统运行平台附属设施。具体要求如下表</w:t>
      </w:r>
    </w:p>
    <w:tbl>
      <w:tblPr>
        <w:tblW w:w="0" w:type="auto"/>
        <w:jc w:val="center"/>
        <w:tblLayout w:type="fixed"/>
        <w:tblLook w:val="04A0" w:firstRow="1" w:lastRow="0" w:firstColumn="1" w:lastColumn="0" w:noHBand="0" w:noVBand="1"/>
      </w:tblPr>
      <w:tblGrid>
        <w:gridCol w:w="704"/>
        <w:gridCol w:w="1418"/>
        <w:gridCol w:w="4677"/>
        <w:gridCol w:w="709"/>
        <w:gridCol w:w="709"/>
        <w:gridCol w:w="1128"/>
      </w:tblGrid>
      <w:tr w:rsidR="00125BFA" w:rsidRPr="00125BFA" w:rsidTr="00125BFA">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序号</w:t>
            </w:r>
          </w:p>
        </w:tc>
        <w:tc>
          <w:tcPr>
            <w:tcW w:w="1418"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名  称</w:t>
            </w:r>
          </w:p>
        </w:tc>
        <w:tc>
          <w:tcPr>
            <w:tcW w:w="4677" w:type="dxa"/>
            <w:tcBorders>
              <w:top w:val="single" w:sz="4" w:space="0" w:color="000000"/>
              <w:left w:val="nil"/>
              <w:bottom w:val="single" w:sz="4" w:space="0" w:color="000000"/>
              <w:right w:val="single" w:sz="4" w:space="0" w:color="000000"/>
            </w:tcBorders>
            <w:shd w:val="clear" w:color="auto" w:fill="FFFFFF"/>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技术规格</w:t>
            </w:r>
          </w:p>
        </w:tc>
        <w:tc>
          <w:tcPr>
            <w:tcW w:w="709"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数量</w:t>
            </w:r>
          </w:p>
        </w:tc>
        <w:tc>
          <w:tcPr>
            <w:tcW w:w="709"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单位</w:t>
            </w:r>
          </w:p>
        </w:tc>
        <w:tc>
          <w:tcPr>
            <w:tcW w:w="1128"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b/>
                <w:bCs/>
                <w:kern w:val="0"/>
                <w:sz w:val="24"/>
                <w:szCs w:val="24"/>
              </w:rPr>
            </w:pPr>
            <w:r w:rsidRPr="00125BFA">
              <w:rPr>
                <w:rFonts w:ascii="楷体" w:eastAsia="楷体" w:hAnsi="楷体" w:cs="Times New Roman" w:hint="eastAsia"/>
                <w:b/>
                <w:bCs/>
                <w:kern w:val="0"/>
                <w:sz w:val="24"/>
                <w:szCs w:val="24"/>
              </w:rPr>
              <w:t>备注</w:t>
            </w:r>
          </w:p>
        </w:tc>
      </w:tr>
      <w:tr w:rsidR="00125BFA" w:rsidRPr="00125BFA" w:rsidTr="00125BFA">
        <w:trPr>
          <w:trHeight w:val="31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1</w:t>
            </w:r>
          </w:p>
        </w:tc>
        <w:tc>
          <w:tcPr>
            <w:tcW w:w="141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40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服务器（Web应用、数据库）</w:t>
            </w:r>
          </w:p>
        </w:tc>
        <w:tc>
          <w:tcPr>
            <w:tcW w:w="4677" w:type="dxa"/>
            <w:tcBorders>
              <w:top w:val="single" w:sz="4" w:space="0" w:color="000000"/>
              <w:left w:val="nil"/>
              <w:bottom w:val="single" w:sz="4" w:space="0" w:color="000000"/>
              <w:right w:val="single" w:sz="4" w:space="0" w:color="000000"/>
            </w:tcBorders>
            <w:hideMark/>
          </w:tcPr>
          <w:p w:rsidR="00125BFA" w:rsidRPr="00125BFA" w:rsidRDefault="00125BFA" w:rsidP="00125BFA">
            <w:pPr>
              <w:widowControl/>
              <w:spacing w:line="38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2U机架式服务器；标配1个可扩展处理器1.7GHz 6C(核)，最大可支持2颗CPU；标配1个16GB内存，最大支持16个DDR4内存插槽；2块300GB热插拔硬盘, 标配支持8个2.5"硬盘背板插槽；标配RAID 730-8i 1GB Cache PCIe 12Gbps 阵列卡(最大支持8个硬盘)支持RAID0/1/10/5/50；标配2个集成1GbE RJ-45网口(不支持10/100 Mb网络)(LOM卡)和1个管理网络端口，最大支持6个PCIe 3.0插槽；2个750W白金级热插拔电源模块；3年7*24*4上门&amp;基础安装。</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2</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台</w:t>
            </w:r>
          </w:p>
        </w:tc>
        <w:tc>
          <w:tcPr>
            <w:tcW w:w="112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p>
        </w:tc>
      </w:tr>
      <w:tr w:rsidR="00125BFA" w:rsidRPr="00125BFA" w:rsidTr="00125BFA">
        <w:trPr>
          <w:trHeight w:val="742"/>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2</w:t>
            </w:r>
          </w:p>
        </w:tc>
        <w:tc>
          <w:tcPr>
            <w:tcW w:w="141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40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操作系统</w:t>
            </w:r>
          </w:p>
        </w:tc>
        <w:tc>
          <w:tcPr>
            <w:tcW w:w="4677"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38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Win server 2012R2</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2</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套</w:t>
            </w:r>
          </w:p>
        </w:tc>
        <w:tc>
          <w:tcPr>
            <w:tcW w:w="112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p>
        </w:tc>
      </w:tr>
      <w:tr w:rsidR="00125BFA" w:rsidRPr="00125BFA" w:rsidTr="00125BFA">
        <w:trPr>
          <w:trHeight w:val="69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3</w:t>
            </w:r>
          </w:p>
        </w:tc>
        <w:tc>
          <w:tcPr>
            <w:tcW w:w="141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40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数据库</w:t>
            </w:r>
          </w:p>
        </w:tc>
        <w:tc>
          <w:tcPr>
            <w:tcW w:w="4677"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38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SQL Server 2012 中文标准版</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1</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套</w:t>
            </w:r>
          </w:p>
        </w:tc>
        <w:tc>
          <w:tcPr>
            <w:tcW w:w="112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p>
        </w:tc>
      </w:tr>
      <w:tr w:rsidR="00125BFA" w:rsidRPr="00125BFA" w:rsidTr="00125BFA">
        <w:trPr>
          <w:trHeight w:val="2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4</w:t>
            </w:r>
          </w:p>
        </w:tc>
        <w:tc>
          <w:tcPr>
            <w:tcW w:w="141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40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机柜</w:t>
            </w:r>
          </w:p>
        </w:tc>
        <w:tc>
          <w:tcPr>
            <w:tcW w:w="4677" w:type="dxa"/>
            <w:tcBorders>
              <w:top w:val="single" w:sz="4" w:space="0" w:color="000000"/>
              <w:left w:val="nil"/>
              <w:bottom w:val="single" w:sz="4" w:space="0" w:color="000000"/>
              <w:right w:val="single" w:sz="4" w:space="0" w:color="000000"/>
            </w:tcBorders>
            <w:hideMark/>
          </w:tcPr>
          <w:p w:rsidR="00125BFA" w:rsidRPr="00125BFA" w:rsidRDefault="00125BFA" w:rsidP="00125BFA">
            <w:pPr>
              <w:widowControl/>
              <w:spacing w:line="38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类型：网络服务器机柜</w:t>
            </w:r>
            <w:r w:rsidRPr="00125BFA">
              <w:rPr>
                <w:rFonts w:ascii="楷体" w:eastAsia="楷体" w:hAnsi="楷体" w:cs="Times New Roman" w:hint="eastAsia"/>
                <w:kern w:val="0"/>
                <w:sz w:val="24"/>
                <w:szCs w:val="24"/>
              </w:rPr>
              <w:br/>
              <w:t>容量： 42U 600*1000*2055</w:t>
            </w:r>
            <w:r w:rsidRPr="00125BFA">
              <w:rPr>
                <w:rFonts w:ascii="楷体" w:eastAsia="楷体" w:hAnsi="楷体" w:cs="Times New Roman" w:hint="eastAsia"/>
                <w:kern w:val="0"/>
                <w:sz w:val="24"/>
                <w:szCs w:val="24"/>
              </w:rPr>
              <w:br/>
              <w:t>门及门锁：高密度六角网孔前后门</w:t>
            </w:r>
            <w:r w:rsidRPr="00125BFA">
              <w:rPr>
                <w:rFonts w:ascii="楷体" w:eastAsia="楷体" w:hAnsi="楷体" w:cs="Times New Roman" w:hint="eastAsia"/>
                <w:kern w:val="0"/>
                <w:sz w:val="24"/>
                <w:szCs w:val="24"/>
              </w:rPr>
              <w:br/>
              <w:t>材料及工艺： SPCC优质冷扎钢板制作</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1</w:t>
            </w:r>
          </w:p>
        </w:tc>
        <w:tc>
          <w:tcPr>
            <w:tcW w:w="709"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面</w:t>
            </w:r>
          </w:p>
        </w:tc>
        <w:tc>
          <w:tcPr>
            <w:tcW w:w="112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含2个PDU</w:t>
            </w:r>
          </w:p>
        </w:tc>
      </w:tr>
      <w:tr w:rsidR="00125BFA" w:rsidRPr="00125BFA" w:rsidTr="00125BFA">
        <w:trPr>
          <w:trHeight w:val="38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5</w:t>
            </w:r>
          </w:p>
        </w:tc>
        <w:tc>
          <w:tcPr>
            <w:tcW w:w="141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spacing w:line="40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KVM套件</w:t>
            </w:r>
          </w:p>
        </w:tc>
        <w:tc>
          <w:tcPr>
            <w:tcW w:w="4677" w:type="dxa"/>
            <w:tcBorders>
              <w:top w:val="single" w:sz="4" w:space="0" w:color="000000"/>
              <w:left w:val="nil"/>
              <w:bottom w:val="single" w:sz="4" w:space="0" w:color="000000"/>
              <w:right w:val="single" w:sz="4" w:space="0" w:color="000000"/>
            </w:tcBorders>
            <w:hideMark/>
          </w:tcPr>
          <w:p w:rsidR="00125BFA" w:rsidRPr="00125BFA" w:rsidRDefault="00125BFA" w:rsidP="00125BFA">
            <w:pPr>
              <w:widowControl/>
              <w:spacing w:line="380" w:lineRule="atLeast"/>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PC端口:8</w:t>
            </w:r>
            <w:r w:rsidRPr="00125BFA">
              <w:rPr>
                <w:rFonts w:ascii="楷体" w:eastAsia="楷体" w:hAnsi="楷体" w:cs="Times New Roman" w:hint="eastAsia"/>
                <w:kern w:val="0"/>
                <w:sz w:val="24"/>
                <w:szCs w:val="24"/>
              </w:rPr>
              <w:br/>
              <w:t>PC端口连接:HDB15</w:t>
            </w:r>
            <w:r w:rsidRPr="00125BFA">
              <w:rPr>
                <w:rFonts w:ascii="楷体" w:eastAsia="楷体" w:hAnsi="楷体" w:cs="Times New Roman" w:hint="eastAsia"/>
                <w:kern w:val="0"/>
                <w:sz w:val="24"/>
                <w:szCs w:val="24"/>
              </w:rPr>
              <w:br/>
              <w:t>LCD控制端与PC最大距离:5米</w:t>
            </w:r>
            <w:r w:rsidRPr="00125BFA">
              <w:rPr>
                <w:rFonts w:ascii="楷体" w:eastAsia="楷体" w:hAnsi="楷体" w:cs="Times New Roman" w:hint="eastAsia"/>
                <w:kern w:val="0"/>
                <w:sz w:val="24"/>
                <w:szCs w:val="24"/>
              </w:rPr>
              <w:br/>
              <w:t>LCD分辨率:1280×1024,DDC2B</w:t>
            </w:r>
          </w:p>
        </w:tc>
        <w:tc>
          <w:tcPr>
            <w:tcW w:w="709"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1</w:t>
            </w:r>
          </w:p>
        </w:tc>
        <w:tc>
          <w:tcPr>
            <w:tcW w:w="709" w:type="dxa"/>
            <w:tcBorders>
              <w:top w:val="single" w:sz="4" w:space="0" w:color="000000"/>
              <w:left w:val="nil"/>
              <w:bottom w:val="single" w:sz="4" w:space="0" w:color="000000"/>
              <w:right w:val="single" w:sz="4" w:space="0" w:color="000000"/>
            </w:tcBorders>
            <w:shd w:val="clear" w:color="auto" w:fill="FFFFFF"/>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kern w:val="0"/>
                <w:sz w:val="24"/>
                <w:szCs w:val="24"/>
              </w:rPr>
              <w:t>套</w:t>
            </w:r>
          </w:p>
        </w:tc>
        <w:tc>
          <w:tcPr>
            <w:tcW w:w="1128" w:type="dxa"/>
            <w:tcBorders>
              <w:top w:val="single" w:sz="4" w:space="0" w:color="000000"/>
              <w:left w:val="nil"/>
              <w:bottom w:val="single" w:sz="4" w:space="0" w:color="000000"/>
              <w:right w:val="single" w:sz="4" w:space="0" w:color="000000"/>
            </w:tcBorders>
            <w:vAlign w:val="center"/>
            <w:hideMark/>
          </w:tcPr>
          <w:p w:rsidR="00125BFA" w:rsidRPr="00125BFA" w:rsidRDefault="00125BFA" w:rsidP="00125BFA">
            <w:pPr>
              <w:widowControl/>
              <w:jc w:val="left"/>
              <w:rPr>
                <w:rFonts w:ascii="楷体" w:eastAsia="楷体" w:hAnsi="楷体" w:cs="Times New Roman"/>
                <w:kern w:val="0"/>
                <w:sz w:val="24"/>
                <w:szCs w:val="24"/>
              </w:rPr>
            </w:pPr>
            <w:r w:rsidRPr="00125BFA">
              <w:rPr>
                <w:rFonts w:ascii="楷体" w:eastAsia="楷体" w:hAnsi="楷体" w:cs="Times New Roman" w:hint="eastAsia"/>
                <w:b/>
                <w:bCs/>
                <w:kern w:val="0"/>
                <w:sz w:val="24"/>
                <w:szCs w:val="24"/>
              </w:rPr>
              <w:t xml:space="preserve">　</w:t>
            </w:r>
          </w:p>
        </w:tc>
      </w:tr>
    </w:tbl>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bookmarkStart w:id="0" w:name="_GoBack"/>
      <w:bookmarkEnd w:id="0"/>
    </w:p>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lastRenderedPageBreak/>
        <w:t>6、售后服务</w:t>
      </w:r>
    </w:p>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（1）本项目质保期为1年，中标服务商需提供3年技术支持；</w:t>
      </w:r>
    </w:p>
    <w:p w:rsidR="00125BFA" w:rsidRPr="00125BFA" w:rsidRDefault="00125BFA" w:rsidP="00125BFA">
      <w:pPr>
        <w:widowControl/>
        <w:spacing w:line="560" w:lineRule="atLeast"/>
        <w:ind w:firstLine="619"/>
        <w:jc w:val="left"/>
        <w:rPr>
          <w:rFonts w:ascii="楷体" w:eastAsia="楷体" w:hAnsi="楷体" w:cs="Times New Roman" w:hint="eastAsia"/>
          <w:kern w:val="0"/>
          <w:sz w:val="28"/>
          <w:szCs w:val="28"/>
        </w:rPr>
      </w:pPr>
      <w:r w:rsidRPr="00125BFA">
        <w:rPr>
          <w:rFonts w:ascii="楷体" w:eastAsia="楷体" w:hAnsi="楷体" w:cs="Times New Roman" w:hint="eastAsia"/>
          <w:kern w:val="0"/>
          <w:sz w:val="28"/>
          <w:szCs w:val="28"/>
        </w:rPr>
        <w:t>（2）在1年的质保期内，安排一名售后服务经理作为售后服务的接口人，负责响应、协调、处理用户的具体服务需求，协助进行配置管理，包括客户记录、更新、管理售后服务信息等；</w:t>
      </w:r>
    </w:p>
    <w:p w:rsidR="00125BFA" w:rsidRPr="00125BFA" w:rsidRDefault="00125BFA" w:rsidP="00125BFA">
      <w:pPr>
        <w:widowControl/>
        <w:rPr>
          <w:rFonts w:ascii="Times New Roman" w:eastAsia="宋体" w:hAnsi="Times New Roman" w:cs="Times New Roman" w:hint="eastAsia"/>
          <w:kern w:val="0"/>
          <w:szCs w:val="21"/>
        </w:rPr>
      </w:pPr>
      <w:r w:rsidRPr="00125BFA">
        <w:rPr>
          <w:rFonts w:ascii="楷体" w:eastAsia="楷体" w:hAnsi="楷体" w:cs="Times New Roman" w:hint="eastAsia"/>
          <w:kern w:val="0"/>
          <w:sz w:val="28"/>
          <w:szCs w:val="28"/>
        </w:rPr>
        <w:t xml:space="preserve">（3）在1年的质保期内，对安全风险管控系统在使用过程中出现的故障，免费提供系统调试与故障排除。   </w:t>
      </w:r>
    </w:p>
    <w:p w:rsidR="00CA5795" w:rsidRDefault="00CA5795"/>
    <w:sectPr w:rsidR="00CA5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Times New Roman"/>
    <w:charset w:val="00"/>
    <w:family w:val="auto"/>
    <w:pitch w:val="default"/>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AD"/>
    <w:rsid w:val="00125BFA"/>
    <w:rsid w:val="009B37AD"/>
    <w:rsid w:val="00CA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25BFA"/>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125BFA"/>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佟彤</dc:creator>
  <cp:keywords/>
  <dc:description/>
  <cp:lastModifiedBy>佟彤</cp:lastModifiedBy>
  <cp:revision>2</cp:revision>
  <dcterms:created xsi:type="dcterms:W3CDTF">2020-09-08T07:25:00Z</dcterms:created>
  <dcterms:modified xsi:type="dcterms:W3CDTF">2020-09-08T07:25:00Z</dcterms:modified>
</cp:coreProperties>
</file>