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autoSpaceDN/>
        <w:adjustRightInd/>
        <w:spacing w:before="240" w:beforeLines="0" w:after="240" w:afterLines="0" w:line="360" w:lineRule="auto"/>
        <w:jc w:val="center"/>
        <w:outlineLvl w:val="0"/>
        <w:rPr>
          <w:rFonts w:ascii="黑体" w:hAnsi="宋体" w:eastAsia="黑体" w:cs="Times New Roman"/>
          <w:b/>
          <w:kern w:val="2"/>
          <w:sz w:val="36"/>
          <w:szCs w:val="36"/>
          <w:lang w:val="en-US" w:eastAsia="zh-CN" w:bidi="ar-SA"/>
        </w:rPr>
      </w:pPr>
      <w:r>
        <w:rPr>
          <w:rFonts w:hint="eastAsia" w:ascii="黑体" w:hAnsi="Times New Roman" w:eastAsia="黑体" w:cs="Times New Roman"/>
          <w:kern w:val="2"/>
          <w:sz w:val="32"/>
          <w:szCs w:val="32"/>
          <w:lang w:val="en-US" w:eastAsia="zh-CN" w:bidi="ar-SA"/>
        </w:rPr>
        <w:t>货物需求一览表</w:t>
      </w:r>
    </w:p>
    <w:tbl>
      <w:tblPr>
        <w:tblStyle w:val="3"/>
        <w:tblW w:w="0" w:type="auto"/>
        <w:tblInd w:w="93" w:type="dxa"/>
        <w:tblLayout w:type="fixed"/>
        <w:tblCellMar>
          <w:top w:w="0" w:type="dxa"/>
          <w:left w:w="108" w:type="dxa"/>
          <w:bottom w:w="0" w:type="dxa"/>
          <w:right w:w="108" w:type="dxa"/>
        </w:tblCellMar>
      </w:tblPr>
      <w:tblGrid>
        <w:gridCol w:w="750"/>
        <w:gridCol w:w="1155"/>
        <w:gridCol w:w="4489"/>
        <w:gridCol w:w="1523"/>
        <w:gridCol w:w="1627"/>
        <w:gridCol w:w="1050"/>
        <w:gridCol w:w="1027"/>
        <w:gridCol w:w="2254"/>
      </w:tblGrid>
      <w:tr>
        <w:tblPrEx>
          <w:tblCellMar>
            <w:top w:w="0" w:type="dxa"/>
            <w:left w:w="108" w:type="dxa"/>
            <w:bottom w:w="0" w:type="dxa"/>
            <w:right w:w="108" w:type="dxa"/>
          </w:tblCellMar>
        </w:tblPrEx>
        <w:trPr>
          <w:cantSplit/>
          <w:trHeight w:val="474" w:hRule="atLeast"/>
          <w:tblHead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jc w:val="center"/>
              <w:rPr>
                <w:rFonts w:hAnsi="宋体" w:cs="宋体"/>
                <w:b/>
                <w:bCs/>
                <w:sz w:val="20"/>
              </w:rPr>
            </w:pPr>
            <w:r>
              <w:rPr>
                <w:rFonts w:hint="eastAsia" w:hAnsi="宋体" w:cs="宋体"/>
                <w:b/>
                <w:bCs/>
                <w:sz w:val="20"/>
              </w:rPr>
              <w:t>序号</w:t>
            </w:r>
          </w:p>
        </w:tc>
        <w:tc>
          <w:tcPr>
            <w:tcW w:w="1155"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Ansi="宋体" w:cs="宋体"/>
                <w:b/>
                <w:bCs/>
                <w:sz w:val="20"/>
              </w:rPr>
            </w:pPr>
            <w:r>
              <w:rPr>
                <w:rFonts w:hint="eastAsia" w:hAnsi="宋体" w:cs="宋体"/>
                <w:b/>
                <w:bCs/>
                <w:sz w:val="20"/>
              </w:rPr>
              <w:t>物料组</w:t>
            </w:r>
          </w:p>
        </w:tc>
        <w:tc>
          <w:tcPr>
            <w:tcW w:w="4489"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Ansi="宋体" w:cs="宋体"/>
                <w:b/>
                <w:bCs/>
                <w:sz w:val="20"/>
              </w:rPr>
            </w:pPr>
            <w:r>
              <w:rPr>
                <w:rFonts w:hint="eastAsia" w:hAnsi="宋体" w:cs="宋体"/>
                <w:b/>
                <w:bCs/>
                <w:sz w:val="20"/>
              </w:rPr>
              <w:t>物料描述</w:t>
            </w:r>
          </w:p>
        </w:tc>
        <w:tc>
          <w:tcPr>
            <w:tcW w:w="1523"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Ansi="宋体" w:cs="宋体"/>
                <w:b/>
                <w:bCs/>
                <w:sz w:val="20"/>
              </w:rPr>
            </w:pPr>
            <w:r>
              <w:rPr>
                <w:rFonts w:hint="eastAsia" w:hAnsi="宋体" w:cs="宋体"/>
                <w:b/>
                <w:bCs/>
                <w:sz w:val="20"/>
              </w:rPr>
              <w:t>品牌</w:t>
            </w:r>
          </w:p>
        </w:tc>
        <w:tc>
          <w:tcPr>
            <w:tcW w:w="1627"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int="eastAsia" w:hAnsi="宋体" w:cs="宋体"/>
                <w:b/>
                <w:bCs/>
                <w:sz w:val="20"/>
              </w:rPr>
            </w:pPr>
            <w:r>
              <w:rPr>
                <w:rFonts w:hint="eastAsia" w:hAnsi="宋体" w:cs="宋体"/>
                <w:b/>
                <w:bCs/>
                <w:sz w:val="20"/>
              </w:rPr>
              <w:t>质量标准号</w:t>
            </w:r>
          </w:p>
        </w:tc>
        <w:tc>
          <w:tcPr>
            <w:tcW w:w="1050"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Ansi="宋体" w:cs="宋体"/>
                <w:b/>
                <w:bCs/>
                <w:sz w:val="20"/>
              </w:rPr>
            </w:pPr>
            <w:r>
              <w:rPr>
                <w:rFonts w:hint="eastAsia" w:hAnsi="宋体" w:cs="宋体"/>
                <w:b/>
                <w:bCs/>
                <w:sz w:val="20"/>
              </w:rPr>
              <w:t>单位</w:t>
            </w:r>
          </w:p>
        </w:tc>
        <w:tc>
          <w:tcPr>
            <w:tcW w:w="1027"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Ansi="宋体" w:cs="宋体"/>
                <w:b/>
                <w:bCs/>
                <w:sz w:val="20"/>
              </w:rPr>
            </w:pPr>
            <w:r>
              <w:rPr>
                <w:rFonts w:hint="eastAsia" w:hAnsi="宋体" w:cs="宋体"/>
                <w:b/>
                <w:bCs/>
                <w:sz w:val="20"/>
              </w:rPr>
              <w:t>数量</w:t>
            </w:r>
          </w:p>
        </w:tc>
        <w:tc>
          <w:tcPr>
            <w:tcW w:w="2254" w:type="dxa"/>
            <w:tcBorders>
              <w:top w:val="single" w:color="auto" w:sz="4" w:space="0"/>
              <w:left w:val="nil"/>
              <w:bottom w:val="single" w:color="auto" w:sz="4" w:space="0"/>
              <w:right w:val="single" w:color="auto" w:sz="4" w:space="0"/>
            </w:tcBorders>
            <w:noWrap w:val="0"/>
            <w:vAlign w:val="center"/>
          </w:tcPr>
          <w:p>
            <w:pPr>
              <w:widowControl/>
              <w:autoSpaceDE/>
              <w:autoSpaceDN/>
              <w:adjustRightInd/>
              <w:spacing w:line="240" w:lineRule="auto"/>
              <w:jc w:val="center"/>
              <w:rPr>
                <w:rFonts w:hint="eastAsia" w:hAnsi="宋体" w:cs="宋体"/>
                <w:b/>
                <w:bCs/>
                <w:sz w:val="20"/>
              </w:rPr>
            </w:pPr>
            <w:r>
              <w:rPr>
                <w:rFonts w:hint="eastAsia" w:hAnsi="宋体" w:cs="宋体"/>
                <w:b/>
                <w:bCs/>
                <w:sz w:val="20"/>
              </w:rPr>
              <w:t>备注</w:t>
            </w:r>
          </w:p>
        </w:tc>
      </w:tr>
      <w:tr>
        <w:tblPrEx>
          <w:tblCellMar>
            <w:top w:w="0" w:type="dxa"/>
            <w:left w:w="108" w:type="dxa"/>
            <w:bottom w:w="0" w:type="dxa"/>
            <w:right w:w="108" w:type="dxa"/>
          </w:tblCellMar>
        </w:tblPrEx>
        <w:trPr>
          <w:cantSplit/>
          <w:trHeight w:val="315" w:hRule="atLeast"/>
          <w:tblHeader/>
        </w:trPr>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Ansi="宋体" w:cs="宋体"/>
                <w:bCs/>
                <w:sz w:val="18"/>
                <w:szCs w:val="18"/>
              </w:rPr>
            </w:pPr>
            <w:r>
              <w:rPr>
                <w:rFonts w:hint="eastAsia" w:ascii="宋体" w:hAnsi="宋体" w:eastAsia="宋体" w:cs="宋体"/>
                <w:i w:val="0"/>
                <w:color w:val="000000"/>
                <w:kern w:val="0"/>
                <w:sz w:val="20"/>
                <w:szCs w:val="20"/>
                <w:u w:val="none"/>
                <w:lang w:val="en-US" w:eastAsia="zh-CN" w:bidi="ar"/>
              </w:rPr>
              <w:t>1</w:t>
            </w:r>
          </w:p>
        </w:tc>
        <w:tc>
          <w:tcPr>
            <w:tcW w:w="11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20"/>
              </w:rPr>
            </w:pPr>
            <w:r>
              <w:rPr>
                <w:rFonts w:hint="eastAsia" w:ascii="宋体" w:hAnsi="宋体" w:eastAsia="宋体" w:cs="宋体"/>
                <w:i w:val="0"/>
                <w:color w:val="000000"/>
                <w:kern w:val="0"/>
                <w:sz w:val="20"/>
                <w:szCs w:val="20"/>
                <w:u w:val="none"/>
                <w:lang w:val="en-US" w:eastAsia="zh-CN" w:bidi="ar"/>
              </w:rPr>
              <w:t>26990101</w:t>
            </w:r>
          </w:p>
        </w:tc>
        <w:tc>
          <w:tcPr>
            <w:tcW w:w="448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20"/>
              </w:rPr>
            </w:pPr>
            <w:r>
              <w:rPr>
                <w:rFonts w:hint="eastAsia" w:ascii="宋体" w:hAnsi="宋体" w:eastAsia="宋体" w:cs="宋体"/>
                <w:i w:val="0"/>
                <w:color w:val="000000"/>
                <w:kern w:val="0"/>
                <w:sz w:val="20"/>
                <w:szCs w:val="20"/>
                <w:u w:val="none"/>
                <w:lang w:val="en-US" w:eastAsia="zh-CN" w:bidi="ar"/>
              </w:rPr>
              <w:t>其它通用机械设备-切冰装置详见技术规格书</w:t>
            </w:r>
          </w:p>
        </w:tc>
        <w:tc>
          <w:tcPr>
            <w:tcW w:w="152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20"/>
              </w:rPr>
            </w:pPr>
            <w:r>
              <w:rPr>
                <w:rFonts w:hint="eastAsia" w:ascii="宋体" w:hAnsi="宋体" w:eastAsia="宋体" w:cs="宋体"/>
                <w:i w:val="0"/>
                <w:color w:val="000000"/>
                <w:kern w:val="0"/>
                <w:sz w:val="20"/>
                <w:szCs w:val="20"/>
                <w:u w:val="none"/>
                <w:lang w:val="en-US" w:eastAsia="zh-CN" w:bidi="ar"/>
              </w:rPr>
              <w:t>招标待定</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20"/>
              </w:rPr>
            </w:pPr>
            <w:r>
              <w:rPr>
                <w:rFonts w:hint="eastAsia" w:ascii="宋体" w:hAnsi="宋体" w:eastAsia="宋体" w:cs="宋体"/>
                <w:i w:val="0"/>
                <w:color w:val="000000"/>
                <w:kern w:val="0"/>
                <w:sz w:val="20"/>
                <w:szCs w:val="20"/>
                <w:highlight w:val="none"/>
                <w:u w:val="none"/>
                <w:lang w:val="en-US" w:eastAsia="zh-CN" w:bidi="ar"/>
              </w:rPr>
              <w:t>详见技术规格书</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18"/>
                <w:szCs w:val="18"/>
              </w:rPr>
            </w:pPr>
            <w:r>
              <w:rPr>
                <w:rFonts w:hint="eastAsia" w:ascii="宋体" w:hAnsi="宋体" w:eastAsia="宋体" w:cs="宋体"/>
                <w:i w:val="0"/>
                <w:color w:val="000000"/>
                <w:kern w:val="0"/>
                <w:sz w:val="20"/>
                <w:szCs w:val="20"/>
                <w:u w:val="none"/>
                <w:lang w:val="en-US" w:eastAsia="zh-CN" w:bidi="ar"/>
              </w:rPr>
              <w:t>台</w:t>
            </w:r>
          </w:p>
        </w:tc>
        <w:tc>
          <w:tcPr>
            <w:tcW w:w="102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18"/>
                <w:szCs w:val="18"/>
              </w:rPr>
            </w:pPr>
            <w:r>
              <w:rPr>
                <w:rFonts w:hint="eastAsia" w:ascii="宋体" w:hAnsi="宋体" w:eastAsia="宋体" w:cs="宋体"/>
                <w:i w:val="0"/>
                <w:color w:val="000000"/>
                <w:kern w:val="0"/>
                <w:sz w:val="20"/>
                <w:szCs w:val="20"/>
                <w:u w:val="none"/>
                <w:lang w:val="en-US" w:eastAsia="zh-CN" w:bidi="ar"/>
              </w:rPr>
              <w:t>2</w:t>
            </w:r>
          </w:p>
        </w:tc>
        <w:tc>
          <w:tcPr>
            <w:tcW w:w="225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Ansi="宋体" w:cs="宋体"/>
                <w:sz w:val="20"/>
              </w:rPr>
            </w:pPr>
            <w:r>
              <w:rPr>
                <w:rFonts w:hint="eastAsia" w:ascii="宋体" w:hAnsi="宋体" w:eastAsia="宋体" w:cs="宋体"/>
                <w:i w:val="0"/>
                <w:color w:val="000000"/>
                <w:kern w:val="0"/>
                <w:sz w:val="20"/>
                <w:szCs w:val="20"/>
                <w:u w:val="none"/>
                <w:lang w:val="en-US" w:eastAsia="zh-CN" w:bidi="ar"/>
              </w:rPr>
              <w:t>非安投资限额不能超过42万元</w:t>
            </w:r>
          </w:p>
        </w:tc>
      </w:tr>
    </w:tbl>
    <w:p>
      <w:pPr>
        <w:rPr>
          <w:rFonts w:hint="eastAsia"/>
        </w:rPr>
      </w:pPr>
    </w:p>
    <w:p>
      <w:pPr>
        <w:widowControl/>
        <w:autoSpaceDE/>
        <w:autoSpaceDN/>
        <w:adjustRightInd/>
        <w:snapToGrid w:val="0"/>
        <w:spacing w:line="360" w:lineRule="auto"/>
        <w:ind w:firstLine="420" w:firstLineChars="200"/>
        <w:textAlignment w:val="center"/>
        <w:rPr>
          <w:rFonts w:hint="eastAsia" w:hAnsi="宋体" w:cs="宋体"/>
          <w:szCs w:val="21"/>
        </w:rPr>
      </w:pPr>
      <w:bookmarkStart w:id="0" w:name="_Toc107822572"/>
      <w:bookmarkStart w:id="1" w:name="_Toc227057961"/>
      <w:bookmarkStart w:id="2" w:name="_Toc226969355"/>
      <w:r>
        <w:rPr>
          <w:rFonts w:hint="eastAsia" w:hAnsi="宋体"/>
          <w:szCs w:val="21"/>
        </w:rPr>
        <w:t>注：1.</w:t>
      </w:r>
      <w:r>
        <w:rPr>
          <w:rFonts w:hint="eastAsia" w:hAnsi="宋体" w:cs="宋体"/>
          <w:szCs w:val="21"/>
        </w:rPr>
        <w:t>单价及金额</w:t>
      </w:r>
      <w:r>
        <w:rPr>
          <w:rFonts w:hint="eastAsia" w:hAnsi="宋体"/>
          <w:color w:val="FF0000"/>
          <w:szCs w:val="21"/>
        </w:rPr>
        <w:t>含标的物价款、运杂费、指导安装调试费、人员培训费、现场服务费；不含13%增值税、装卸费。</w:t>
      </w:r>
    </w:p>
    <w:p>
      <w:pPr>
        <w:widowControl/>
        <w:autoSpaceDE/>
        <w:autoSpaceDN/>
        <w:adjustRightInd/>
        <w:spacing w:line="360" w:lineRule="auto"/>
        <w:ind w:firstLine="840" w:firstLineChars="400"/>
        <w:rPr>
          <w:rFonts w:hint="eastAsia" w:hAnsi="宋体" w:cs="宋体"/>
          <w:color w:val="FF0000"/>
          <w:szCs w:val="21"/>
        </w:rPr>
      </w:pPr>
      <w:r>
        <w:rPr>
          <w:rFonts w:hint="eastAsia" w:hAnsi="宋体" w:cs="宋体"/>
          <w:szCs w:val="21"/>
        </w:rPr>
        <w:t>2.付款方式：</w:t>
      </w:r>
      <w:r>
        <w:rPr>
          <w:rFonts w:hint="eastAsia" w:hAnsi="宋体"/>
          <w:color w:val="FF0000"/>
        </w:rPr>
        <w:t>货到验收合格后挂账，次月开始付款，付款比例不低于10%，余款在6个月内付清（接受商票），凭入库验收单及设备验收单，依照买方要求开具13%增值税专用发票，办理结算手续。</w:t>
      </w:r>
    </w:p>
    <w:p>
      <w:pPr>
        <w:widowControl/>
        <w:autoSpaceDE/>
        <w:autoSpaceDN/>
        <w:adjustRightInd/>
        <w:spacing w:line="360" w:lineRule="auto"/>
        <w:ind w:firstLine="840" w:firstLineChars="400"/>
        <w:rPr>
          <w:rFonts w:hint="eastAsia" w:hAnsi="宋体" w:cs="宋体"/>
          <w:color w:val="FF0000"/>
          <w:szCs w:val="21"/>
        </w:rPr>
      </w:pPr>
      <w:r>
        <w:rPr>
          <w:rFonts w:hint="eastAsia" w:hAnsi="宋体" w:cs="宋体"/>
          <w:szCs w:val="21"/>
        </w:rPr>
        <w:t>3.交货期：</w:t>
      </w:r>
      <w:r>
        <w:rPr>
          <w:rFonts w:hint="eastAsia" w:hAnsi="宋体"/>
          <w:color w:val="FF0000"/>
          <w:szCs w:val="21"/>
          <w:lang w:eastAsia="zh-CN"/>
        </w:rPr>
        <w:t>中标（成交）通知书下发之日起30天内</w:t>
      </w:r>
      <w:r>
        <w:rPr>
          <w:rFonts w:hint="eastAsia" w:hAnsi="宋体"/>
          <w:color w:val="FF0000"/>
          <w:szCs w:val="21"/>
        </w:rPr>
        <w:t>。</w:t>
      </w:r>
    </w:p>
    <w:p>
      <w:pPr>
        <w:widowControl/>
        <w:autoSpaceDE/>
        <w:autoSpaceDN/>
        <w:adjustRightInd/>
        <w:spacing w:line="360" w:lineRule="auto"/>
        <w:ind w:firstLine="840" w:firstLineChars="400"/>
        <w:rPr>
          <w:rFonts w:hint="eastAsia" w:hAnsi="宋体" w:cs="宋体"/>
          <w:color w:val="FF0000"/>
          <w:szCs w:val="21"/>
          <w:lang w:eastAsia="zh-CN"/>
        </w:rPr>
      </w:pPr>
      <w:r>
        <w:rPr>
          <w:rFonts w:hint="eastAsia" w:hAnsi="宋体" w:cs="宋体"/>
          <w:szCs w:val="21"/>
        </w:rPr>
        <w:t>4</w:t>
      </w:r>
      <w:r>
        <w:rPr>
          <w:rFonts w:hint="eastAsia" w:hAnsi="宋体" w:cs="宋体"/>
          <w:color w:val="000000"/>
          <w:szCs w:val="21"/>
        </w:rPr>
        <w:t>.交货地点：</w:t>
      </w:r>
      <w:r>
        <w:rPr>
          <w:rFonts w:hint="eastAsia" w:hAnsi="宋体" w:cs="宋体"/>
          <w:color w:val="FF0000"/>
          <w:szCs w:val="21"/>
          <w:lang w:eastAsia="zh-CN"/>
        </w:rPr>
        <w:t>辽河救援站盘锦市辽滨开发区修业路辽河重工有限公司油田船厂院内; 大港救援站 天津市大港油田化学有限公司二公司路34号</w:t>
      </w:r>
    </w:p>
    <w:p>
      <w:pPr>
        <w:widowControl/>
        <w:autoSpaceDE/>
        <w:autoSpaceDN/>
        <w:adjustRightInd/>
        <w:spacing w:line="360" w:lineRule="auto"/>
        <w:ind w:firstLine="840" w:firstLineChars="400"/>
        <w:rPr>
          <w:rFonts w:hint="eastAsia" w:hAnsi="宋体" w:cs="宋体"/>
          <w:szCs w:val="21"/>
        </w:rPr>
      </w:pPr>
      <w:r>
        <w:rPr>
          <w:rFonts w:hint="eastAsia" w:hAnsi="宋体" w:cs="宋体"/>
          <w:color w:val="FF0000"/>
          <w:szCs w:val="21"/>
          <w:lang w:eastAsia="zh-CN"/>
        </w:rPr>
        <w:t>各一套。</w:t>
      </w:r>
    </w:p>
    <w:p>
      <w:pPr>
        <w:widowControl/>
        <w:autoSpaceDE/>
        <w:autoSpaceDN/>
        <w:adjustRightInd/>
        <w:spacing w:line="360" w:lineRule="auto"/>
        <w:ind w:firstLine="840" w:firstLineChars="400"/>
        <w:rPr>
          <w:rFonts w:hint="eastAsia" w:hAnsi="宋体" w:cs="宋体"/>
          <w:szCs w:val="21"/>
        </w:rPr>
      </w:pPr>
      <w:r>
        <w:rPr>
          <w:rFonts w:hint="eastAsia" w:hAnsi="宋体" w:cs="宋体"/>
          <w:szCs w:val="21"/>
        </w:rPr>
        <w:t>5.运输方式：供方自行选择运输方式到甲方指定地点。</w:t>
      </w:r>
    </w:p>
    <w:p>
      <w:pPr>
        <w:widowControl/>
        <w:autoSpaceDE/>
        <w:autoSpaceDN/>
        <w:adjustRightInd/>
        <w:spacing w:line="360" w:lineRule="auto"/>
        <w:ind w:firstLine="840" w:firstLineChars="400"/>
        <w:rPr>
          <w:rFonts w:hint="eastAsia" w:hAnsi="宋体" w:cs="宋体"/>
          <w:szCs w:val="21"/>
        </w:rPr>
      </w:pPr>
      <w:r>
        <w:rPr>
          <w:rFonts w:hint="eastAsia" w:hAnsi="宋体" w:cs="宋体"/>
          <w:szCs w:val="21"/>
        </w:rPr>
        <w:t>6.制作投标文件时，</w:t>
      </w:r>
      <w:r>
        <w:rPr>
          <w:rFonts w:hint="eastAsia" w:hAnsi="宋体" w:cs="宋体"/>
          <w:color w:val="000000"/>
          <w:szCs w:val="21"/>
        </w:rPr>
        <w:t>质量标准</w:t>
      </w:r>
      <w:r>
        <w:rPr>
          <w:rFonts w:hint="eastAsia" w:hAnsi="宋体" w:cs="宋体"/>
          <w:szCs w:val="21"/>
        </w:rPr>
        <w:t>和交货期、品牌为必填项，如未填写，甲方有权否决其投标。</w:t>
      </w:r>
    </w:p>
    <w:p>
      <w:pPr>
        <w:widowControl/>
        <w:autoSpaceDE/>
        <w:autoSpaceDN/>
        <w:adjustRightInd/>
        <w:spacing w:line="360" w:lineRule="auto"/>
        <w:ind w:firstLine="840" w:firstLineChars="400"/>
        <w:rPr>
          <w:rFonts w:hint="eastAsia" w:hAnsi="宋体" w:cs="宋体"/>
          <w:szCs w:val="21"/>
        </w:rPr>
      </w:pPr>
      <w:r>
        <w:rPr>
          <w:rFonts w:hint="eastAsia" w:hAnsi="宋体" w:cs="宋体"/>
          <w:szCs w:val="21"/>
        </w:rPr>
        <w:t>7.制作投标文件时，如甲方规定品牌，则投标人必须严格按甲方规定的品牌、规格型号填写，如投标人自行更改，甲方有权否决其投标。</w:t>
      </w:r>
    </w:p>
    <w:p>
      <w:pPr>
        <w:widowControl/>
        <w:autoSpaceDE/>
        <w:autoSpaceDN/>
        <w:adjustRightInd/>
        <w:spacing w:line="360" w:lineRule="auto"/>
        <w:ind w:firstLine="840" w:firstLineChars="400"/>
        <w:rPr>
          <w:rFonts w:hAnsi="宋体" w:cs="宋体"/>
          <w:szCs w:val="21"/>
        </w:rPr>
      </w:pPr>
      <w:r>
        <w:rPr>
          <w:rFonts w:hint="eastAsia" w:hAnsi="宋体" w:cs="宋体"/>
          <w:szCs w:val="21"/>
        </w:rPr>
        <w:t>8.制作投标文件时，投标人所填</w:t>
      </w:r>
      <w:r>
        <w:rPr>
          <w:rFonts w:hint="eastAsia" w:hAnsi="宋体" w:cs="宋体"/>
          <w:b/>
          <w:szCs w:val="21"/>
        </w:rPr>
        <w:t>质量标准号</w:t>
      </w:r>
      <w:r>
        <w:rPr>
          <w:rFonts w:hint="eastAsia" w:hAnsi="宋体" w:cs="宋体"/>
          <w:szCs w:val="21"/>
        </w:rPr>
        <w:t>必须满足</w:t>
      </w:r>
      <w:r>
        <w:rPr>
          <w:rFonts w:hint="eastAsia" w:hAnsi="宋体" w:cs="宋体"/>
          <w:color w:val="FF0000"/>
          <w:szCs w:val="21"/>
          <w:lang w:eastAsia="zh-CN"/>
        </w:rPr>
        <w:t>货物需求一览表及</w:t>
      </w:r>
      <w:r>
        <w:rPr>
          <w:rFonts w:hint="eastAsia" w:hAnsi="宋体" w:cs="宋体"/>
          <w:color w:val="FF0000"/>
          <w:szCs w:val="21"/>
        </w:rPr>
        <w:t>技术规格书</w:t>
      </w:r>
      <w:r>
        <w:rPr>
          <w:rFonts w:hint="eastAsia" w:hAnsi="宋体" w:cs="宋体"/>
          <w:szCs w:val="21"/>
        </w:rPr>
        <w:t>要求，否则甲方有权否决其投标。</w:t>
      </w:r>
    </w:p>
    <w:p>
      <w:pPr>
        <w:widowControl/>
        <w:autoSpaceDE/>
        <w:autoSpaceDN/>
        <w:adjustRightInd/>
        <w:spacing w:line="360" w:lineRule="auto"/>
        <w:ind w:firstLine="840" w:firstLineChars="400"/>
        <w:rPr>
          <w:rFonts w:hint="eastAsia" w:hAnsi="宋体" w:cs="宋体"/>
          <w:szCs w:val="21"/>
        </w:rPr>
      </w:pPr>
      <w:r>
        <w:rPr>
          <w:rFonts w:hint="eastAsia" w:hAnsi="宋体" w:cs="宋体"/>
          <w:szCs w:val="21"/>
        </w:rPr>
        <w:t>9.</w:t>
      </w:r>
      <w:r>
        <w:rPr>
          <w:rFonts w:hint="eastAsia" w:hAnsi="宋体" w:cs="宋体"/>
          <w:color w:val="000000"/>
          <w:szCs w:val="21"/>
        </w:rPr>
        <w:t>商务部分综合报价表应与投标客户端制作的价格部分报价保持一致</w:t>
      </w:r>
      <w:r>
        <w:rPr>
          <w:rFonts w:hint="eastAsia" w:hAnsi="宋体" w:cs="宋体"/>
          <w:szCs w:val="21"/>
        </w:rPr>
        <w:t>。</w:t>
      </w:r>
    </w:p>
    <w:p>
      <w:pPr>
        <w:widowControl/>
        <w:autoSpaceDE/>
        <w:autoSpaceDN/>
        <w:adjustRightInd/>
        <w:spacing w:line="360" w:lineRule="auto"/>
        <w:ind w:firstLine="840" w:firstLineChars="400"/>
        <w:rPr>
          <w:rFonts w:hint="eastAsia" w:hAnsi="宋体" w:cs="宋体"/>
          <w:color w:val="000000"/>
          <w:szCs w:val="21"/>
        </w:rPr>
      </w:pPr>
      <w:r>
        <w:rPr>
          <w:rFonts w:hint="eastAsia" w:hAnsi="宋体" w:cs="宋体"/>
          <w:szCs w:val="21"/>
        </w:rPr>
        <w:t>10.</w:t>
      </w:r>
      <w:r>
        <w:rPr>
          <w:rFonts w:hint="eastAsia" w:hAnsi="宋体" w:cs="宋体"/>
          <w:color w:val="000000"/>
          <w:szCs w:val="21"/>
        </w:rPr>
        <w:t>使用投标客户端编制价格部分投标文件时，应将综合报价表（Excel格式）以附件形式上传。</w:t>
      </w:r>
    </w:p>
    <w:p>
      <w:pPr>
        <w:widowControl/>
        <w:autoSpaceDE/>
        <w:autoSpaceDN/>
        <w:adjustRightInd/>
        <w:spacing w:line="360" w:lineRule="auto"/>
        <w:ind w:firstLine="840" w:firstLineChars="400"/>
        <w:rPr>
          <w:rFonts w:hint="eastAsia" w:hAnsi="宋体" w:cs="宋体"/>
          <w:szCs w:val="21"/>
        </w:rPr>
      </w:pPr>
      <w:r>
        <w:rPr>
          <w:rFonts w:hint="eastAsia" w:hAnsi="宋体" w:cs="宋体"/>
          <w:szCs w:val="21"/>
        </w:rPr>
        <w:t>11.备注中注明投标限价或投资限额的物资，投标报价金额不得超过对应投标限价或投资限额，否则投标将被否决。</w:t>
      </w:r>
    </w:p>
    <w:p>
      <w:pPr>
        <w:widowControl/>
        <w:autoSpaceDE/>
        <w:autoSpaceDN/>
        <w:adjustRightInd/>
        <w:spacing w:line="360" w:lineRule="auto"/>
        <w:ind w:firstLine="840" w:firstLineChars="400"/>
        <w:rPr>
          <w:rFonts w:hint="eastAsia" w:hAnsi="宋体" w:cs="宋体"/>
          <w:szCs w:val="21"/>
        </w:rPr>
        <w:sectPr>
          <w:footerReference r:id="rId3" w:type="default"/>
          <w:pgSz w:w="16838" w:h="11906" w:orient="landscape"/>
          <w:pgMar w:top="1797" w:right="1440" w:bottom="1797" w:left="1440" w:header="851" w:footer="992" w:gutter="0"/>
          <w:pgNumType w:start="44"/>
          <w:cols w:space="720" w:num="1"/>
          <w:docGrid w:linePitch="318" w:charSpace="0"/>
        </w:sectPr>
      </w:pPr>
    </w:p>
    <w:bookmarkEnd w:id="0"/>
    <w:bookmarkEnd w:id="1"/>
    <w:bookmarkEnd w:id="2"/>
    <w:p>
      <w:bookmarkStart w:id="3" w:name="_GoBack"/>
      <w:bookmarkEnd w:id="3"/>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adjustRightInd w:val="0"/>
      <w:spacing w:line="315" w:lineRule="atLeast"/>
      <w:jc w:val="center"/>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fldChar w:fldCharType="begin"/>
    </w:r>
    <w:r>
      <w:rPr>
        <w:rFonts w:ascii="宋体" w:hAnsi="Times New Roman" w:eastAsia="宋体" w:cs="Times New Roman"/>
        <w:sz w:val="21"/>
        <w:lang w:val="en-US" w:eastAsia="zh-CN" w:bidi="ar-SA"/>
      </w:rPr>
      <w:instrText xml:space="preserve"> PAGE   \* MERGEFORMAT </w:instrText>
    </w:r>
    <w:r>
      <w:rPr>
        <w:rFonts w:ascii="宋体" w:hAnsi="Times New Roman" w:eastAsia="宋体" w:cs="Times New Roman"/>
        <w:sz w:val="21"/>
        <w:lang w:val="en-US" w:eastAsia="zh-CN" w:bidi="ar-SA"/>
      </w:rPr>
      <w:fldChar w:fldCharType="separate"/>
    </w:r>
    <w:r>
      <w:rPr>
        <w:rFonts w:ascii="宋体" w:hAnsi="Times New Roman" w:eastAsia="宋体" w:cs="Times New Roman"/>
        <w:sz w:val="21"/>
        <w:lang w:val="zh-CN" w:eastAsia="zh-CN" w:bidi="ar-SA"/>
      </w:rPr>
      <w:t>50</w:t>
    </w:r>
    <w:r>
      <w:rPr>
        <w:rFonts w:ascii="宋体" w:hAnsi="Times New Roman" w:eastAsia="宋体" w:cs="Times New Roman"/>
        <w:sz w:val="21"/>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fldChar w:fldCharType="begin"/>
    </w:r>
    <w:r>
      <w:instrText xml:space="preserve"> PAGE   \* MERGEFORMAT </w:instrText>
    </w:r>
    <w:r>
      <w:fldChar w:fldCharType="separate"/>
    </w:r>
    <w:r>
      <w:rPr>
        <w:lang w:val="zh-CN"/>
      </w:rP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5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spacing w:line="315" w:lineRule="atLeast"/>
    </w:pPr>
    <w:rPr>
      <w:rFonts w:ascii="宋体"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rPr>
      <w:rFonts w:ascii="宋体"/>
      <w:sz w:val="21"/>
    </w:rPr>
  </w:style>
  <w:style w:type="paragraph" w:customStyle="1" w:styleId="5">
    <w:name w:val="标题一、"/>
    <w:basedOn w:val="1"/>
    <w:qFormat/>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2020-08-18T00:38:56Z</dcterms:created>
  <dc:creator>Administrator</dc:creator>
  <cp:lastModifiedBy>Administrator</cp:lastModifiedBy>
  <dcterms:modified xsi:type="dcterms:W3CDTF">2020-08-18T00:39:09Z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