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端氨基树枝状迭代化合物二次</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JLYT-ZBZX-2020-WZ-080-2</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17902421"/>
      <w:bookmarkStart w:id="1" w:name="_Toc347209678"/>
      <w:bookmarkStart w:id="2" w:name="_Toc520895294"/>
      <w:bookmarkStart w:id="3" w:name="_Toc489354666"/>
      <w:bookmarkStart w:id="4" w:name="_Toc347086849"/>
      <w:bookmarkStart w:id="5" w:name="_Toc347086983"/>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209679"/>
      <w:bookmarkStart w:id="7" w:name="_Toc347086850"/>
      <w:bookmarkStart w:id="8" w:name="_Toc347086984"/>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17902422"/>
      <w:bookmarkStart w:id="10" w:name="_Toc520895295"/>
      <w:bookmarkStart w:id="11" w:name="_Toc489354667"/>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C8"/>
          <w:sz w:val="21"/>
          <w:szCs w:val="21"/>
          <w:lang w:val="en-US" w:eastAsia="zh-CN"/>
        </w:rPr>
        <w:t>132</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需求数量以实际发生为准。项目执行期限为合同签订之日起一年。当产品市场价格波动率达到或超过10%，且持续时间达20个工作日，则本次招标结果终止；</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color w:val="0000FF"/>
          <w:kern w:val="0"/>
          <w:szCs w:val="21"/>
        </w:rPr>
        <w:t>吉林油田兴业油化公司施工现场</w:t>
      </w:r>
      <w:r>
        <w:rPr>
          <w:rFonts w:hint="eastAsia" w:ascii="宋体" w:hAnsi="宋体" w:cs="宋体"/>
          <w:color w:val="0000FF"/>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ascii="宋体" w:hAnsi="宋体" w:cs="宋体"/>
          <w:color w:val="0000FF"/>
          <w:kern w:val="0"/>
          <w:szCs w:val="21"/>
        </w:rPr>
        <w:t>按照需求单位电话通知数量，15个工作日内送达指定地点；</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cs="宋体"/>
          <w:color w:val="000FDC"/>
          <w:szCs w:val="21"/>
          <w:lang w:eastAsia="zh-CN"/>
        </w:rPr>
        <w:t>公路或铁路运输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8"/>
          <w:sz w:val="21"/>
          <w:szCs w:val="21"/>
          <w:lang w:eastAsia="zh-CN"/>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C8"/>
          <w:sz w:val="21"/>
          <w:szCs w:val="21"/>
          <w:lang w:val="en-US" w:eastAsia="zh-CN"/>
        </w:rPr>
        <w:t>1家</w:t>
      </w:r>
      <w:r>
        <w:rPr>
          <w:rFonts w:hint="eastAsia" w:ascii="宋体" w:hAnsi="宋体" w:cs="宋体"/>
          <w:color w:val="0000C8"/>
          <w:sz w:val="21"/>
          <w:szCs w:val="21"/>
          <w:lang w:eastAsia="zh-CN"/>
        </w:rPr>
        <w:t>；</w:t>
      </w:r>
    </w:p>
    <w:p>
      <w:pPr>
        <w:spacing w:line="288" w:lineRule="auto"/>
        <w:ind w:firstLine="420" w:firstLineChars="200"/>
        <w:rPr>
          <w:rFonts w:hint="default" w:ascii="宋体" w:hAnsi="宋体" w:eastAsia="宋体" w:cs="宋体"/>
          <w:color w:val="0000C8"/>
          <w:sz w:val="21"/>
          <w:szCs w:val="21"/>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napToGrid w:val="0"/>
        <w:spacing w:line="288" w:lineRule="auto"/>
        <w:ind w:firstLine="420" w:firstLineChars="200"/>
        <w:rPr>
          <w:rFonts w:hint="eastAsia" w:ascii="宋体" w:hAnsi="宋体" w:eastAsia="宋体" w:cs="宋体"/>
          <w:color w:val="0000FF"/>
          <w:sz w:val="21"/>
          <w:szCs w:val="21"/>
          <w:lang w:val="en-US" w:eastAsia="zh-CN"/>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ascii="宋体" w:hAnsi="宋体" w:cs="宋体"/>
          <w:color w:val="0000FF"/>
          <w:sz w:val="21"/>
          <w:szCs w:val="21"/>
        </w:rPr>
        <w:t>合同签订前，收取中标人履约保证金，收取标准为中标额度（不含税）的3%；最高不超50万</w:t>
      </w:r>
      <w:r>
        <w:rPr>
          <w:rFonts w:hint="eastAsia" w:ascii="宋体" w:hAnsi="宋体" w:cs="宋体"/>
          <w:color w:val="0000FF"/>
          <w:sz w:val="21"/>
          <w:szCs w:val="21"/>
          <w:lang w:eastAsia="zh-CN"/>
        </w:rPr>
        <w:t>。</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：中标厂家签订的合同，招标人将收取乙方挂账金额（不含税）</w:t>
      </w:r>
      <w:r>
        <w:rPr>
          <w:rFonts w:hint="eastAsia" w:ascii="宋体" w:hAnsi="宋体" w:cs="宋体"/>
          <w:color w:val="0000C8"/>
          <w:sz w:val="21"/>
          <w:szCs w:val="21"/>
          <w:highlight w:val="none"/>
        </w:rPr>
        <w:t>2%</w:t>
      </w:r>
      <w:r>
        <w:rPr>
          <w:rFonts w:hint="eastAsia" w:ascii="宋体" w:hAnsi="宋体" w:cs="宋体"/>
          <w:sz w:val="21"/>
          <w:szCs w:val="21"/>
          <w:highlight w:val="none"/>
        </w:rPr>
        <w:t>的服务费</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其他：无。</w:t>
      </w:r>
    </w:p>
    <w:p>
      <w:bookmarkStart w:id="12" w:name="_Toc347209680"/>
      <w:bookmarkStart w:id="13" w:name="_Toc17902423"/>
      <w:bookmarkStart w:id="14" w:name="_Toc520895296"/>
      <w:bookmarkStart w:id="15" w:name="_Toc347086985"/>
      <w:bookmarkStart w:id="16" w:name="_Toc347086851"/>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520895297"/>
      <w:bookmarkStart w:id="18" w:name="_Toc347209681"/>
      <w:bookmarkStart w:id="19" w:name="_Toc347086986"/>
      <w:bookmarkStart w:id="20" w:name="_Toc347086852"/>
      <w:r>
        <w:rPr>
          <w:rFonts w:hint="eastAsia" w:ascii="宋体" w:hAnsi="宋体" w:cs="宋体"/>
          <w:b/>
          <w:bCs/>
          <w:sz w:val="21"/>
          <w:szCs w:val="21"/>
        </w:rPr>
        <w:t>3.1商务资格条件</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3.1.1境内注册的独立法人，经营范围满足本招标项目要求，注册资金不低于200万元人民币的制造商</w:t>
      </w:r>
      <w:r>
        <w:rPr>
          <w:rFonts w:hint="eastAsia" w:ascii="宋体" w:hAnsi="宋体" w:cs="宋体"/>
          <w:color w:val="0000C8"/>
          <w:sz w:val="21"/>
          <w:szCs w:val="21"/>
          <w:lang w:eastAsia="zh-CN"/>
        </w:rPr>
        <w:t>或代理商</w:t>
      </w:r>
      <w:r>
        <w:rPr>
          <w:rFonts w:hint="eastAsia" w:ascii="宋体" w:hAnsi="宋体" w:cs="宋体"/>
          <w:color w:val="0000C8"/>
          <w:sz w:val="21"/>
          <w:szCs w:val="21"/>
        </w:rPr>
        <w:t>（投标人须提供营业执照和国家企业信用信息公示系统经营范围截屏；投标人营业执照登记信息和经营范围须与“国家企业信用信息公示系统”信息一致，评审现场网络查询复核）；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3.1.2提供会计师事务所出具标准的上年度（2019年）无保留意见审计报告（附资产负债表），且资产负债率低于100%，当年新成立公司和高等院校，不予提供相关财务信息和审计报告。</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3.1.3</w:t>
      </w:r>
      <w:r>
        <w:rPr>
          <w:rFonts w:hint="eastAsia" w:ascii="宋体" w:hAnsi="宋体" w:cs="宋体"/>
          <w:color w:val="0000C8"/>
          <w:sz w:val="21"/>
          <w:szCs w:val="21"/>
          <w:lang w:val="zh-CN"/>
        </w:rPr>
        <w:t>代理商投标提供代理产品生产企业《代理产品授权委托书》。（注：同一品牌的制造商只能授权一家代理商投标，且同一品牌制造商和代理商不能同时参与本项目投标，否则同一品牌的投标人均废标）</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3.1.4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5</w:t>
      </w:r>
      <w:r>
        <w:rPr>
          <w:rFonts w:hint="eastAsia" w:ascii="宋体" w:hAnsi="宋体" w:cs="宋体"/>
          <w:color w:val="0000C8"/>
          <w:sz w:val="21"/>
          <w:szCs w:val="21"/>
        </w:rPr>
        <w:t>投标人在“中国执行信息公开网”(http://zxgk.court.gov.cn) 未被列为“失信被执行人”。（投标人须提供“中国执行信息公开网”关于“失信被执行人”的查询截屏，评审现场网络查询复核）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6</w:t>
      </w:r>
      <w:r>
        <w:rPr>
          <w:rFonts w:hint="eastAsia" w:ascii="宋体" w:hAnsi="宋体" w:cs="宋体"/>
          <w:color w:val="0000C8"/>
          <w:sz w:val="21"/>
          <w:szCs w:val="21"/>
        </w:rPr>
        <w:t>本次招标不接受联合体投标，不允许分包；</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7</w:t>
      </w:r>
      <w:r>
        <w:rPr>
          <w:rFonts w:hint="eastAsia" w:ascii="宋体" w:hAnsi="宋体" w:cs="宋体"/>
          <w:color w:val="0000C8"/>
          <w:sz w:val="21"/>
          <w:szCs w:val="21"/>
        </w:rPr>
        <w:t>没有处于被责令停业，投标资格被取消，财产被接管、冻结，破产状态；（承诺）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8</w:t>
      </w:r>
      <w:r>
        <w:rPr>
          <w:rFonts w:hint="eastAsia" w:ascii="宋体" w:hAnsi="宋体" w:cs="宋体"/>
          <w:color w:val="0000C8"/>
          <w:sz w:val="21"/>
          <w:szCs w:val="21"/>
        </w:rPr>
        <w:t>单位负责人为同一人或者控股、管理关系的不同单位，不得参加同一标段投标或者未划分标段的同一招标项目投标；（承诺）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9</w:t>
      </w:r>
      <w:r>
        <w:rPr>
          <w:rFonts w:hint="eastAsia" w:ascii="宋体" w:hAnsi="宋体" w:cs="宋体"/>
          <w:color w:val="0000C8"/>
          <w:sz w:val="21"/>
          <w:szCs w:val="21"/>
        </w:rPr>
        <w:t>近三年（2017年1月1日至投标截止时间），在国家、行业、集团公司以及地方政府质量监督检查中无重大质量问题及事故；（承诺）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0</w:t>
      </w:r>
      <w:r>
        <w:rPr>
          <w:rFonts w:hint="eastAsia" w:ascii="宋体" w:hAnsi="宋体" w:cs="宋体"/>
          <w:color w:val="0000C8"/>
          <w:sz w:val="21"/>
          <w:szCs w:val="21"/>
        </w:rPr>
        <w:t>与集团公司及所属企业无重大法律纠纷；（承诺）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1</w:t>
      </w:r>
      <w:r>
        <w:rPr>
          <w:rFonts w:hint="eastAsia" w:ascii="宋体" w:hAnsi="宋体" w:cs="宋体"/>
          <w:color w:val="0000C8"/>
          <w:sz w:val="21"/>
          <w:szCs w:val="21"/>
        </w:rPr>
        <w:t>投标人有良好的商业信誉和健全的财务会计制度；（承诺）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2</w:t>
      </w:r>
      <w:r>
        <w:rPr>
          <w:rFonts w:hint="eastAsia" w:ascii="宋体" w:hAnsi="宋体" w:cs="宋体"/>
          <w:color w:val="0000C8"/>
          <w:sz w:val="21"/>
          <w:szCs w:val="21"/>
        </w:rPr>
        <w:t>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color w:val="0000C8"/>
          <w:sz w:val="21"/>
          <w:szCs w:val="21"/>
          <w:lang w:val="en-US" w:eastAsia="zh-CN"/>
        </w:rPr>
      </w:pPr>
      <w:bookmarkStart w:id="21" w:name="_Toc17902424"/>
      <w:r>
        <w:rPr>
          <w:rFonts w:hint="eastAsia" w:ascii="宋体" w:hAnsi="宋体" w:cs="宋体"/>
          <w:color w:val="0000C8"/>
          <w:sz w:val="21"/>
          <w:szCs w:val="21"/>
          <w:lang w:val="en-US" w:eastAsia="zh-CN"/>
        </w:rPr>
        <w:t>3.2.1承诺所提供的产品必须附带有合格的《安全技术说明书》和《安全标签》，并《安全技术说明书》和《安全标签》与所提供的产品性质一致。《安全技术说明书》与《安全标签》的编制应严格按照《GB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spacing w:line="288" w:lineRule="auto"/>
        <w:ind w:firstLine="420" w:firstLineChars="200"/>
        <w:rPr>
          <w:rFonts w:hint="default" w:ascii="宋体" w:hAnsi="宋体" w:cs="宋体"/>
          <w:color w:val="0000C8"/>
          <w:sz w:val="21"/>
          <w:szCs w:val="21"/>
          <w:lang w:val="en-US" w:eastAsia="zh-CN"/>
        </w:rPr>
      </w:pPr>
      <w:r>
        <w:rPr>
          <w:rFonts w:hint="eastAsia" w:ascii="宋体" w:hAnsi="宋体" w:cs="宋体"/>
          <w:color w:val="0000C8"/>
          <w:sz w:val="21"/>
          <w:szCs w:val="21"/>
          <w:lang w:val="en-US" w:eastAsia="zh-CN"/>
        </w:rPr>
        <w:t>3.2.2</w:t>
      </w:r>
      <w:r>
        <w:rPr>
          <w:rFonts w:hint="eastAsia" w:ascii="宋体" w:hAnsi="宋体" w:cs="宋体"/>
          <w:color w:val="0000C8"/>
          <w:sz w:val="21"/>
          <w:szCs w:val="21"/>
        </w:rPr>
        <w:t xml:space="preserve"> 投标人必须全部满足技术要求*条款，同时对非*条款作出承诺。</w:t>
      </w:r>
    </w:p>
    <w:p>
      <w:pPr>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w:t>
      </w:r>
      <w:r>
        <w:rPr>
          <w:rFonts w:hint="eastAsia" w:ascii="宋体" w:hAnsi="宋体" w:cs="宋体"/>
          <w:sz w:val="21"/>
          <w:szCs w:val="21"/>
          <w:highlight w:val="none"/>
        </w:rPr>
        <w:t>北京时间</w:t>
      </w:r>
      <w:r>
        <w:rPr>
          <w:rFonts w:hint="eastAsia" w:ascii="宋体" w:hAnsi="宋体" w:cs="宋体"/>
          <w:color w:val="0000C8"/>
          <w:sz w:val="21"/>
          <w:szCs w:val="21"/>
          <w:highlight w:val="none"/>
        </w:rPr>
        <w:t xml:space="preserve">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8</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5</w:t>
      </w:r>
      <w:r>
        <w:rPr>
          <w:rFonts w:hint="eastAsia" w:ascii="宋体" w:hAnsi="宋体" w:cs="宋体"/>
          <w:color w:val="0000C8"/>
          <w:sz w:val="21"/>
          <w:szCs w:val="21"/>
          <w:highlight w:val="none"/>
        </w:rPr>
        <w:t>日至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8</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10</w:t>
      </w:r>
      <w:r>
        <w:rPr>
          <w:rFonts w:hint="eastAsia" w:ascii="宋体" w:hAnsi="宋体" w:cs="宋体"/>
          <w:color w:val="0000C8"/>
          <w:sz w:val="21"/>
          <w:szCs w:val="21"/>
          <w:highlight w:val="none"/>
        </w:rPr>
        <w:t>日</w:t>
      </w:r>
      <w:r>
        <w:rPr>
          <w:rFonts w:hint="eastAsia" w:ascii="宋体" w:hAnsi="宋体" w:cs="宋体"/>
          <w:sz w:val="21"/>
          <w:szCs w:val="21"/>
          <w:highlight w:val="none"/>
        </w:rPr>
        <w:t>内</w:t>
      </w:r>
      <w:r>
        <w:rPr>
          <w:rFonts w:hint="eastAsia" w:ascii="宋体" w:hAnsi="宋体" w:cs="宋体"/>
          <w:sz w:val="21"/>
          <w:szCs w:val="21"/>
        </w:rPr>
        <w:t xml:space="preserve">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310252595"/>
      <w:bookmarkStart w:id="23" w:name="_Toc310252796"/>
      <w:bookmarkStart w:id="24" w:name="_Toc491332587"/>
      <w:bookmarkStart w:id="25" w:name="_Toc520895298"/>
      <w:bookmarkStart w:id="26" w:name="_Toc1790242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highlight w:val="none"/>
        </w:rPr>
        <w:t>20</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年</w:t>
      </w:r>
      <w:r>
        <w:rPr>
          <w:rFonts w:hint="eastAsia" w:ascii="宋体" w:hAnsi="宋体" w:cs="宋体"/>
          <w:color w:val="0000C8"/>
          <w:kern w:val="2"/>
          <w:sz w:val="21"/>
          <w:szCs w:val="21"/>
          <w:highlight w:val="none"/>
          <w:lang w:val="en-US" w:eastAsia="zh-CN"/>
        </w:rPr>
        <w:t>8</w:t>
      </w:r>
      <w:r>
        <w:rPr>
          <w:rFonts w:hint="eastAsia" w:ascii="宋体" w:hAnsi="宋体" w:cs="宋体"/>
          <w:color w:val="0000C8"/>
          <w:kern w:val="2"/>
          <w:sz w:val="21"/>
          <w:szCs w:val="21"/>
          <w:highlight w:val="none"/>
        </w:rPr>
        <w:t>月</w:t>
      </w:r>
      <w:r>
        <w:rPr>
          <w:rFonts w:hint="eastAsia" w:ascii="宋体" w:hAnsi="宋体" w:cs="宋体"/>
          <w:color w:val="0000C8"/>
          <w:kern w:val="2"/>
          <w:sz w:val="21"/>
          <w:szCs w:val="21"/>
          <w:highlight w:val="none"/>
          <w:lang w:val="en-US" w:eastAsia="zh-CN"/>
        </w:rPr>
        <w:t>27</w:t>
      </w:r>
      <w:r>
        <w:rPr>
          <w:rFonts w:hint="eastAsia" w:ascii="宋体" w:hAnsi="宋体" w:cs="宋体"/>
          <w:color w:val="0000C8"/>
          <w:kern w:val="2"/>
          <w:sz w:val="21"/>
          <w:szCs w:val="21"/>
          <w:highlight w:val="none"/>
        </w:rPr>
        <w:t>日</w:t>
      </w:r>
      <w:r>
        <w:rPr>
          <w:rFonts w:hint="eastAsia" w:ascii="宋体" w:hAnsi="宋体" w:cs="宋体"/>
          <w:color w:val="0000C8"/>
          <w:kern w:val="2"/>
          <w:sz w:val="21"/>
          <w:szCs w:val="21"/>
          <w:highlight w:val="none"/>
          <w:lang w:val="en-US" w:eastAsia="zh-CN"/>
        </w:rPr>
        <w:t>08</w:t>
      </w:r>
      <w:r>
        <w:rPr>
          <w:rFonts w:hint="eastAsia" w:ascii="宋体" w:hAnsi="宋体" w:cs="宋体"/>
          <w:color w:val="0000C8"/>
          <w:kern w:val="2"/>
          <w:sz w:val="21"/>
          <w:szCs w:val="21"/>
          <w:highlight w:val="none"/>
        </w:rPr>
        <w:t>时</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491332588"/>
      <w:bookmarkStart w:id="28" w:name="_Toc520895299"/>
      <w:bookmarkStart w:id="29" w:name="_Toc17902426"/>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rPr>
        <w:t xml:space="preserve"> 王先生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w:t>
      </w:r>
      <w:bookmarkStart w:id="37" w:name="_GoBack"/>
      <w:bookmarkEnd w:id="37"/>
      <w:r>
        <w:rPr>
          <w:rFonts w:hint="eastAsia" w:ascii="宋体" w:hAnsi="宋体" w:cs="宋体"/>
          <w:bCs/>
          <w:color w:val="0000C8"/>
          <w:kern w:val="2"/>
          <w:sz w:val="21"/>
          <w:szCs w:val="21"/>
          <w:lang w:val="en-US" w:eastAsia="zh-CN"/>
        </w:rPr>
        <w:t>6</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w:t>
      </w:r>
      <w:r>
        <w:rPr>
          <w:rFonts w:hint="eastAsia" w:ascii="宋体" w:hAnsi="宋体" w:cs="宋体"/>
          <w:bCs/>
          <w:color w:val="0000FF"/>
          <w:kern w:val="2"/>
          <w:sz w:val="21"/>
          <w:szCs w:val="21"/>
          <w:lang w:val="zh-CN" w:eastAsia="zh-CN"/>
        </w:rPr>
        <w:t>高</w:t>
      </w:r>
      <w:r>
        <w:rPr>
          <w:rFonts w:hint="eastAsia" w:ascii="宋体" w:hAnsi="宋体" w:cs="宋体"/>
          <w:bCs/>
          <w:color w:val="0000C8"/>
          <w:kern w:val="2"/>
          <w:sz w:val="21"/>
          <w:szCs w:val="21"/>
          <w:lang w:val="zh-CN"/>
        </w:rPr>
        <w:t>女士</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78513</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highlight w:val="none"/>
        </w:rPr>
      </w:pPr>
      <w:r>
        <w:rPr>
          <w:rFonts w:hint="eastAsia" w:ascii="宋体" w:hAnsi="宋体" w:cs="宋体"/>
          <w:sz w:val="21"/>
          <w:szCs w:val="21"/>
          <w:highlight w:val="none"/>
        </w:rPr>
        <w:t xml:space="preserve">  </w:t>
      </w:r>
      <w:r>
        <w:rPr>
          <w:rFonts w:hint="eastAsia" w:ascii="宋体" w:hAnsi="宋体" w:cs="宋体"/>
          <w:color w:val="0000CC"/>
          <w:sz w:val="21"/>
          <w:szCs w:val="21"/>
          <w:highlight w:val="none"/>
        </w:rPr>
        <w:t xml:space="preserve"> </w:t>
      </w:r>
      <w:r>
        <w:rPr>
          <w:rFonts w:hint="eastAsia" w:ascii="宋体" w:hAnsi="宋体" w:cs="宋体"/>
          <w:color w:val="0000C8"/>
          <w:sz w:val="21"/>
          <w:szCs w:val="21"/>
          <w:highlight w:val="none"/>
        </w:rPr>
        <w:t>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8</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2608"/>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6"/>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ascii="宋体" w:hAnsi="宋体" w:cs="宋体"/>
                <w:color w:val="000000"/>
                <w:szCs w:val="21"/>
              </w:rPr>
            </w:pPr>
            <w:r>
              <w:rPr>
                <w:rFonts w:hint="eastAsia"/>
                <w:sz w:val="20"/>
                <w:szCs w:val="20"/>
              </w:rPr>
              <w:t>1</w:t>
            </w:r>
          </w:p>
        </w:tc>
        <w:tc>
          <w:tcPr>
            <w:tcW w:w="1667" w:type="dxa"/>
            <w:vAlign w:val="center"/>
          </w:tcPr>
          <w:p>
            <w:pPr>
              <w:keepNext w:val="0"/>
              <w:keepLines w:val="0"/>
              <w:widowControl/>
              <w:suppressLineNumbers w:val="0"/>
              <w:jc w:val="left"/>
              <w:textAlignment w:val="center"/>
              <w:rPr>
                <w:rFonts w:hint="default" w:ascii="宋体" w:hAnsi="宋体" w:eastAsia="宋体" w:cs="宋体"/>
                <w:szCs w:val="21"/>
                <w:lang w:val="en-US" w:eastAsia="zh-CN"/>
              </w:rPr>
            </w:pPr>
            <w:r>
              <w:rPr>
                <w:rFonts w:hint="default" w:ascii="宋体" w:hAnsi="宋体" w:eastAsia="宋体" w:cs="宋体"/>
                <w:szCs w:val="21"/>
                <w:lang w:val="en-US" w:eastAsia="zh-CN"/>
              </w:rPr>
              <w:t>端氨基树枝状迭代化合物</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ascii="宋体" w:hAnsi="宋体" w:eastAsia="宋体" w:cs="宋体"/>
                <w:i w:val="0"/>
                <w:color w:val="000000"/>
                <w:kern w:val="0"/>
                <w:sz w:val="20"/>
                <w:szCs w:val="20"/>
                <w:u w:val="none"/>
                <w:lang w:val="en-US" w:eastAsia="zh-CN" w:bidi="ar"/>
              </w:rPr>
              <w:t>吨</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u w:val="none"/>
                <w:lang w:val="en-US" w:eastAsia="zh-CN" w:bidi="ar"/>
              </w:rPr>
              <w:t xml:space="preserve">1 </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hint="eastAsia" w:ascii="宋体" w:hAnsi="宋体" w:eastAsia="宋体" w:cs="宋体"/>
                <w:color w:val="000000"/>
                <w:szCs w:val="21"/>
                <w:lang w:eastAsia="zh-CN"/>
              </w:rPr>
            </w:pPr>
            <w:r>
              <w:rPr>
                <w:rFonts w:hint="eastAsia" w:ascii="宋体" w:hAnsi="宋体" w:cs="宋体"/>
                <w:kern w:val="0"/>
                <w:szCs w:val="21"/>
              </w:rPr>
              <w:t>按照需求单位电话通知数量，15个工作日内送达指定地点</w:t>
            </w:r>
            <w:r>
              <w:rPr>
                <w:rFonts w:hint="eastAsia" w:ascii="宋体" w:hAnsi="宋体" w:cs="宋体"/>
                <w:kern w:val="0"/>
                <w:szCs w:val="21"/>
                <w:lang w:eastAsia="zh-CN"/>
              </w:rPr>
              <w:t>。</w:t>
            </w:r>
          </w:p>
        </w:tc>
        <w:tc>
          <w:tcPr>
            <w:tcW w:w="1425" w:type="dxa"/>
            <w:vAlign w:val="center"/>
          </w:tcPr>
          <w:p>
            <w:pPr>
              <w:widowControl/>
              <w:jc w:val="center"/>
              <w:rPr>
                <w:rFonts w:ascii="宋体" w:hAnsi="宋体" w:cs="宋体"/>
                <w:color w:val="000000"/>
                <w:szCs w:val="21"/>
              </w:rPr>
            </w:pPr>
            <w:r>
              <w:rPr>
                <w:rFonts w:hint="eastAsia" w:ascii="宋体" w:hAnsi="宋体" w:cs="宋体"/>
                <w:kern w:val="0"/>
                <w:szCs w:val="21"/>
              </w:rPr>
              <w:t>吉林油田兴业油化公司施工现场</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eastAsia="宋体"/>
          <w:lang w:eastAsia="zh-CN"/>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14620"/>
      <w:r>
        <w:rPr>
          <w:rFonts w:hint="eastAsia" w:ascii="黑体" w:hAnsi="宋体" w:eastAsia="黑体"/>
          <w:bCs/>
          <w:kern w:val="2"/>
          <w:sz w:val="28"/>
          <w:szCs w:val="28"/>
        </w:rPr>
        <w:t>附件2：技术要求</w:t>
      </w:r>
      <w:bookmarkEnd w:id="33"/>
    </w:p>
    <w:p>
      <w:pPr>
        <w:pStyle w:val="4"/>
        <w:spacing w:before="156" w:beforeLines="50" w:beforeAutospacing="0" w:after="156" w:afterLines="50" w:afterAutospacing="0"/>
        <w:jc w:val="center"/>
        <w:rPr>
          <w:rFonts w:hint="eastAsia" w:ascii="黑体" w:eastAsia="黑体"/>
          <w:color w:val="auto"/>
          <w:sz w:val="32"/>
          <w:szCs w:val="32"/>
        </w:rPr>
      </w:pPr>
      <w:r>
        <w:rPr>
          <w:rFonts w:hint="eastAsia"/>
          <w:bCs/>
          <w:color w:val="000000"/>
          <w:sz w:val="32"/>
          <w:szCs w:val="32"/>
          <w:lang w:eastAsia="zh-CN"/>
        </w:rPr>
        <w:t>端氨基树枝状迭代化合物</w:t>
      </w:r>
      <w:r>
        <w:rPr>
          <w:rFonts w:hint="eastAsia" w:hAnsi="宋体"/>
          <w:bCs/>
          <w:color w:val="000000"/>
          <w:sz w:val="32"/>
          <w:szCs w:val="32"/>
          <w:lang w:eastAsia="zh-CN"/>
        </w:rPr>
        <w:t>采购</w:t>
      </w:r>
      <w:r>
        <w:rPr>
          <w:rFonts w:hint="eastAsia" w:hAnsi="宋体"/>
          <w:bCs/>
          <w:color w:val="000000"/>
          <w:sz w:val="32"/>
          <w:szCs w:val="32"/>
        </w:rPr>
        <w:t>招标技术规范</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  范围</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1.1  本标准适用于端氨基树枝状迭代化合物的物资采购项目招标活动。</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1.2  本标准规定了端氨基树枝状迭代化合物的基本技术要求。当本标准与国家法律、行政法规的规定相抵触时，应按国家法律、行政法规的规定执行。</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2  规范性引用文件</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下列文件对于本文件的应用是必不可少的。凡是注日期的引用文件，仅注日期的版本适用于本文件。凡是不注日期的引用文件，其最新版本（包括所有的修改单）适用于本文件。</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4472 化工产品密度、相对密度的测定进行测定</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 15258 化学品安全标签编写规定</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16483  化学品安全技术说明书 内容和项目顺序的要求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17519  化学品安全技术说明书编写指南</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Q/SYJL 16019  采油用硫化氢吸附剂 胺醛复合物 XY-619 </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3  资质要求</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见招标公告</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sz w:val="21"/>
          <w:szCs w:val="21"/>
        </w:rPr>
        <w:t>4技术要求</w:t>
      </w:r>
    </w:p>
    <w:p>
      <w:pPr>
        <w:pStyle w:val="4"/>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4.1 技术指标要求</w:t>
      </w:r>
    </w:p>
    <w:p>
      <w:pPr>
        <w:pStyle w:val="4"/>
        <w:keepNext w:val="0"/>
        <w:keepLines w:val="0"/>
        <w:pageBreakBefore w:val="0"/>
        <w:widowControl/>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端胺基树枝状迭代化合物与其它化学原料复配生产的硫化氢吸附剂，可以有效去除水中的硫化氢。</w:t>
      </w:r>
    </w:p>
    <w:p>
      <w:pPr>
        <w:pStyle w:val="4"/>
        <w:spacing w:before="156" w:beforeLines="50" w:beforeAutospacing="0" w:after="156" w:afterLines="50" w:afterAutospacing="0"/>
        <w:jc w:val="center"/>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表1</w:t>
      </w:r>
      <w:r>
        <w:rPr>
          <w:rFonts w:hint="eastAsia" w:ascii="黑体" w:eastAsia="宋体"/>
          <w:b/>
          <w:bCs w:val="0"/>
          <w:sz w:val="21"/>
          <w:szCs w:val="21"/>
          <w:lang w:eastAsia="zh-CN"/>
        </w:rPr>
        <w:t>端氨基树枝状迭代化合物</w:t>
      </w:r>
      <w:r>
        <w:rPr>
          <w:rFonts w:hint="eastAsia" w:ascii="黑体"/>
          <w:b/>
          <w:bCs w:val="0"/>
          <w:sz w:val="21"/>
          <w:szCs w:val="21"/>
          <w:lang w:val="en-US" w:eastAsia="zh-CN"/>
        </w:rPr>
        <w:t>技术要求</w:t>
      </w:r>
    </w:p>
    <w:tbl>
      <w:tblPr>
        <w:tblStyle w:val="6"/>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390" w:type="dxa"/>
            <w:vAlign w:val="center"/>
          </w:tcPr>
          <w:p>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标准名称</w:t>
            </w:r>
          </w:p>
        </w:tc>
        <w:tc>
          <w:tcPr>
            <w:tcW w:w="4390" w:type="dxa"/>
            <w:vAlign w:val="center"/>
          </w:tcPr>
          <w:p>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lang w:val="en-US" w:eastAsia="zh-CN"/>
              </w:rPr>
            </w:pPr>
            <w:r>
              <w:rPr>
                <w:rFonts w:hint="eastAsia" w:ascii="宋体" w:hAnsi="宋体"/>
                <w:sz w:val="21"/>
                <w:szCs w:val="21"/>
              </w:rPr>
              <w:t>外观</w:t>
            </w:r>
          </w:p>
        </w:tc>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lang w:val="en-US" w:eastAsia="zh-CN"/>
              </w:rPr>
            </w:pPr>
            <w:r>
              <w:rPr>
                <w:rFonts w:hint="eastAsia" w:ascii="宋体" w:hAnsi="宋体"/>
                <w:sz w:val="21"/>
                <w:szCs w:val="21"/>
                <w:lang w:val="en-US" w:eastAsia="zh-CN"/>
              </w:rPr>
              <w:t>自由</w:t>
            </w:r>
            <w:r>
              <w:rPr>
                <w:rFonts w:hint="eastAsia" w:ascii="宋体" w:hAnsi="宋体"/>
                <w:sz w:val="21"/>
                <w:szCs w:val="21"/>
              </w:rPr>
              <w:t>流动液体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lang w:val="en-US" w:eastAsia="zh-CN"/>
              </w:rPr>
            </w:pPr>
            <w:r>
              <w:rPr>
                <w:rFonts w:hint="eastAsia" w:ascii="宋体" w:hAnsi="宋体"/>
                <w:sz w:val="21"/>
                <w:szCs w:val="21"/>
              </w:rPr>
              <w:t>密度，g/cm</w:t>
            </w:r>
            <w:r>
              <w:rPr>
                <w:rFonts w:hint="eastAsia" w:ascii="宋体" w:hAnsi="宋体"/>
                <w:sz w:val="21"/>
                <w:szCs w:val="21"/>
                <w:vertAlign w:val="superscript"/>
              </w:rPr>
              <w:t>3</w:t>
            </w:r>
          </w:p>
        </w:tc>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lang w:val="en-US" w:eastAsia="zh-CN"/>
              </w:rPr>
            </w:pPr>
            <w:r>
              <w:rPr>
                <w:rFonts w:hint="eastAsia" w:ascii="宋体" w:hAnsi="宋体"/>
                <w:sz w:val="21"/>
                <w:szCs w:val="21"/>
              </w:rPr>
              <w:t>1.0</w:t>
            </w:r>
            <w:r>
              <w:rPr>
                <w:rFonts w:hint="eastAsia" w:ascii="宋体" w:hAnsi="宋体" w:eastAsia="宋体" w:cs="宋体"/>
                <w:sz w:val="21"/>
                <w:szCs w:val="21"/>
              </w:rPr>
              <w:t>～</w:t>
            </w:r>
            <w:r>
              <w:rPr>
                <w:rFonts w:hint="eastAsia" w:ascii="宋体" w:hAnsi="宋体"/>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lang w:val="en-US" w:eastAsia="zh-CN"/>
              </w:rPr>
            </w:pPr>
            <w:r>
              <w:rPr>
                <w:rFonts w:hint="eastAsia" w:ascii="宋体" w:hAnsi="宋体"/>
                <w:sz w:val="21"/>
                <w:szCs w:val="21"/>
              </w:rPr>
              <w:t>显色反应</w:t>
            </w:r>
          </w:p>
        </w:tc>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lang w:val="en-US" w:eastAsia="zh-CN"/>
              </w:rPr>
            </w:pPr>
            <w:r>
              <w:rPr>
                <w:rFonts w:hint="eastAsia" w:ascii="宋体" w:hAnsi="宋体"/>
                <w:sz w:val="21"/>
                <w:szCs w:val="21"/>
              </w:rPr>
              <w:t>加入碘-碘化钾溶液显蓝色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rPr>
            </w:pPr>
            <w:r>
              <w:rPr>
                <w:rFonts w:hint="eastAsia" w:ascii="宋体" w:hAnsi="宋体"/>
                <w:sz w:val="21"/>
                <w:szCs w:val="21"/>
              </w:rPr>
              <w:t>动力粘度</w:t>
            </w:r>
            <w:r>
              <w:rPr>
                <w:rFonts w:hint="eastAsia" w:ascii="宋体" w:hAnsi="宋体"/>
                <w:sz w:val="21"/>
                <w:szCs w:val="21"/>
                <w:lang w:eastAsia="zh-CN"/>
              </w:rPr>
              <w:t>（</w:t>
            </w:r>
            <w:r>
              <w:rPr>
                <w:rFonts w:hint="eastAsia" w:ascii="宋体" w:hAnsi="宋体"/>
                <w:sz w:val="21"/>
                <w:szCs w:val="21"/>
              </w:rPr>
              <w:t>25℃</w:t>
            </w:r>
            <w:r>
              <w:rPr>
                <w:rFonts w:hint="eastAsia" w:ascii="宋体" w:hAnsi="宋体"/>
                <w:sz w:val="21"/>
                <w:szCs w:val="21"/>
                <w:lang w:eastAsia="zh-CN"/>
              </w:rPr>
              <w:t>）</w:t>
            </w:r>
            <w:r>
              <w:rPr>
                <w:rFonts w:hint="eastAsia" w:ascii="宋体" w:hAnsi="宋体"/>
                <w:sz w:val="21"/>
                <w:szCs w:val="21"/>
              </w:rPr>
              <w:t>，mPa</w:t>
            </w:r>
            <w:r>
              <w:rPr>
                <w:rFonts w:hint="eastAsia" w:ascii="宋体" w:hAnsi="宋体" w:eastAsia="宋体" w:cs="宋体"/>
                <w:sz w:val="21"/>
                <w:szCs w:val="21"/>
              </w:rPr>
              <w:t>·</w:t>
            </w:r>
            <w:r>
              <w:rPr>
                <w:rFonts w:hint="eastAsia" w:ascii="宋体" w:hAnsi="宋体"/>
                <w:sz w:val="21"/>
                <w:szCs w:val="21"/>
              </w:rPr>
              <w:t>s</w:t>
            </w:r>
          </w:p>
        </w:tc>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eastAsia="宋体" w:cs="宋体"/>
                <w:kern w:val="0"/>
                <w:sz w:val="21"/>
                <w:szCs w:val="21"/>
              </w:rPr>
            </w:pPr>
            <w:r>
              <w:rPr>
                <w:rFonts w:hint="eastAsia" w:ascii="宋体" w:hAnsi="宋体"/>
                <w:sz w:val="21"/>
                <w:szCs w:val="21"/>
              </w:rPr>
              <w:t>55</w:t>
            </w:r>
            <w:r>
              <w:rPr>
                <w:rFonts w:hint="eastAsia" w:ascii="宋体" w:hAnsi="宋体" w:eastAsia="宋体" w:cs="宋体"/>
                <w:sz w:val="21"/>
                <w:szCs w:val="21"/>
              </w:rPr>
              <w:t>～</w:t>
            </w:r>
            <w:r>
              <w:rPr>
                <w:rFonts w:hint="eastAsia" w:ascii="宋体" w:hAnsi="宋体"/>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sz w:val="21"/>
                <w:szCs w:val="21"/>
                <w:lang w:val="en-US" w:eastAsia="zh-CN"/>
              </w:rPr>
            </w:pPr>
            <w:r>
              <w:rPr>
                <w:rFonts w:hint="eastAsia" w:ascii="宋体" w:hAnsi="宋体"/>
                <w:sz w:val="21"/>
                <w:szCs w:val="21"/>
              </w:rPr>
              <w:t>有效物含量，%</w:t>
            </w:r>
          </w:p>
        </w:tc>
        <w:tc>
          <w:tcPr>
            <w:tcW w:w="4390" w:type="dxa"/>
            <w:vAlign w:val="top"/>
          </w:tcPr>
          <w:p>
            <w:pPr>
              <w:pStyle w:val="3"/>
              <w:keepNext w:val="0"/>
              <w:keepLines w:val="0"/>
              <w:pageBreakBefore w:val="0"/>
              <w:widowControl w:val="0"/>
              <w:tabs>
                <w:tab w:val="left" w:pos="8280"/>
                <w:tab w:val="left" w:pos="9000"/>
              </w:tabs>
              <w:kinsoku/>
              <w:wordWrap/>
              <w:overflowPunct/>
              <w:topLinePunct w:val="0"/>
              <w:autoSpaceDE/>
              <w:autoSpaceDN/>
              <w:bidi w:val="0"/>
              <w:adjustRightInd/>
              <w:snapToGrid/>
              <w:spacing w:line="420" w:lineRule="exact"/>
              <w:ind w:firstLine="0" w:firstLineChars="0"/>
              <w:jc w:val="center"/>
              <w:textAlignment w:val="auto"/>
              <w:outlineLvl w:val="9"/>
              <w:rPr>
                <w:rFonts w:hint="eastAsia" w:ascii="宋体" w:hAnsi="宋体"/>
                <w:sz w:val="21"/>
                <w:szCs w:val="21"/>
              </w:rPr>
            </w:pPr>
            <w:r>
              <w:rPr>
                <w:rFonts w:hint="eastAsia" w:ascii="宋体" w:hAnsi="宋体"/>
                <w:sz w:val="21"/>
                <w:szCs w:val="21"/>
              </w:rPr>
              <w:t>≥70</w:t>
            </w:r>
          </w:p>
        </w:tc>
      </w:tr>
    </w:tbl>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4.2 </w:t>
      </w:r>
      <w:r>
        <w:rPr>
          <w:rFonts w:hint="eastAsia" w:ascii="宋体" w:hAnsi="宋体" w:eastAsia="宋体" w:cs="宋体"/>
          <w:bCs/>
          <w:sz w:val="21"/>
          <w:szCs w:val="21"/>
        </w:rPr>
        <w:t>检测方法</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4.2.1</w:t>
      </w:r>
      <w:r>
        <w:rPr>
          <w:rFonts w:hint="eastAsia" w:ascii="宋体" w:hAnsi="宋体" w:eastAsia="宋体" w:cs="宋体"/>
          <w:bCs/>
          <w:sz w:val="21"/>
          <w:szCs w:val="21"/>
        </w:rPr>
        <w:t>仪器和材料</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a）</w:t>
      </w:r>
      <w:r>
        <w:rPr>
          <w:rFonts w:hint="eastAsia" w:ascii="宋体" w:hAnsi="宋体" w:eastAsia="宋体" w:cs="宋体"/>
          <w:bCs/>
          <w:sz w:val="21"/>
          <w:szCs w:val="21"/>
        </w:rPr>
        <w:t>比色管</w:t>
      </w:r>
      <w:r>
        <w:rPr>
          <w:rFonts w:hint="eastAsia" w:ascii="宋体" w:hAnsi="宋体" w:eastAsia="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b)</w:t>
      </w:r>
      <w:r>
        <w:rPr>
          <w:rFonts w:hint="eastAsia" w:ascii="宋体" w:hAnsi="宋体" w:eastAsia="宋体" w:cs="宋体"/>
          <w:bCs/>
          <w:sz w:val="21"/>
          <w:szCs w:val="21"/>
        </w:rPr>
        <w:t xml:space="preserve"> 密度计</w:t>
      </w:r>
      <w:r>
        <w:rPr>
          <w:rFonts w:hint="eastAsia" w:ascii="宋体" w:hAnsi="宋体" w:eastAsia="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c) </w:t>
      </w:r>
      <w:r>
        <w:rPr>
          <w:rFonts w:hint="eastAsia" w:ascii="宋体" w:hAnsi="宋体" w:eastAsia="宋体" w:cs="宋体"/>
          <w:bCs/>
          <w:sz w:val="21"/>
          <w:szCs w:val="21"/>
        </w:rPr>
        <w:t>硫酸，98%，分析纯；</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d) </w:t>
      </w:r>
      <w:r>
        <w:rPr>
          <w:rFonts w:hint="eastAsia" w:ascii="宋体" w:hAnsi="宋体" w:eastAsia="宋体" w:cs="宋体"/>
          <w:bCs/>
          <w:sz w:val="21"/>
          <w:szCs w:val="21"/>
        </w:rPr>
        <w:t>硼酸溶液：20g/L；</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e) </w:t>
      </w:r>
      <w:r>
        <w:rPr>
          <w:rFonts w:hint="eastAsia" w:ascii="宋体" w:hAnsi="宋体" w:eastAsia="宋体" w:cs="宋体"/>
          <w:bCs/>
          <w:sz w:val="21"/>
          <w:szCs w:val="21"/>
        </w:rPr>
        <w:t>氢氧化钠溶液：20g/L；</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f) </w:t>
      </w:r>
      <w:r>
        <w:rPr>
          <w:rFonts w:hint="eastAsia" w:ascii="宋体" w:hAnsi="宋体" w:eastAsia="宋体" w:cs="宋体"/>
          <w:bCs/>
          <w:sz w:val="21"/>
          <w:szCs w:val="21"/>
        </w:rPr>
        <w:t>盐酸标准溶液：C(HCl) 0.01mol/l；</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g) </w:t>
      </w:r>
      <w:r>
        <w:rPr>
          <w:rFonts w:hint="eastAsia" w:ascii="宋体" w:hAnsi="宋体" w:eastAsia="宋体" w:cs="宋体"/>
          <w:bCs/>
          <w:sz w:val="21"/>
          <w:szCs w:val="21"/>
        </w:rPr>
        <w:t>甲基红-次甲基蓝混合指示剂；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h) </w:t>
      </w:r>
      <w:r>
        <w:rPr>
          <w:rFonts w:hint="eastAsia" w:ascii="宋体" w:hAnsi="宋体" w:eastAsia="宋体" w:cs="宋体"/>
          <w:bCs/>
          <w:sz w:val="21"/>
          <w:szCs w:val="21"/>
        </w:rPr>
        <w:t>混合加速剂：硫酸钾（K2SO4）与硫酸铜（CuSO4·5H2O）以10:0.78混合；</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i)</w:t>
      </w:r>
      <w:r>
        <w:rPr>
          <w:rFonts w:hint="eastAsia" w:ascii="宋体" w:hAnsi="宋体" w:eastAsia="宋体" w:cs="宋体"/>
          <w:bCs/>
          <w:sz w:val="21"/>
          <w:szCs w:val="21"/>
        </w:rPr>
        <w:t xml:space="preserve"> 碘-碘化钾溶液；</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j) </w:t>
      </w:r>
      <w:r>
        <w:rPr>
          <w:rFonts w:hint="eastAsia" w:ascii="宋体" w:hAnsi="宋体" w:eastAsia="宋体" w:cs="宋体"/>
          <w:bCs/>
          <w:sz w:val="21"/>
          <w:szCs w:val="21"/>
        </w:rPr>
        <w:t>凯氏定氮瓶：容积为500m</w:t>
      </w:r>
      <w:r>
        <w:rPr>
          <w:rFonts w:hint="eastAsia" w:ascii="宋体" w:hAnsi="宋体" w:eastAsia="宋体" w:cs="宋体"/>
          <w:bCs/>
          <w:sz w:val="21"/>
          <w:szCs w:val="21"/>
          <w:lang w:val="en-US" w:eastAsia="zh-CN"/>
        </w:rPr>
        <w:t>L</w:t>
      </w:r>
      <w:r>
        <w:rPr>
          <w:rFonts w:hint="eastAsia" w:ascii="宋体" w:hAnsi="宋体" w:eastAsia="宋体" w:cs="宋体"/>
          <w:bCs/>
          <w:sz w:val="21"/>
          <w:szCs w:val="21"/>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 xml:space="preserve">k) </w:t>
      </w:r>
      <w:r>
        <w:rPr>
          <w:rFonts w:hint="eastAsia" w:ascii="宋体" w:hAnsi="宋体" w:eastAsia="宋体" w:cs="宋体"/>
          <w:bCs/>
          <w:sz w:val="21"/>
          <w:szCs w:val="21"/>
        </w:rPr>
        <w:t>蛇形冷凝管:长600mm</w:t>
      </w:r>
      <w:r>
        <w:rPr>
          <w:rFonts w:hint="eastAsia" w:ascii="宋体" w:hAnsi="宋体" w:eastAsia="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l) </w:t>
      </w:r>
      <w:r>
        <w:rPr>
          <w:rFonts w:hint="eastAsia" w:ascii="宋体" w:hAnsi="宋体" w:eastAsia="宋体" w:cs="宋体"/>
          <w:bCs/>
          <w:sz w:val="21"/>
          <w:szCs w:val="21"/>
        </w:rPr>
        <w:t>NDJ-9SN粘度计或同类产品；</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m) </w:t>
      </w:r>
      <w:r>
        <w:rPr>
          <w:rFonts w:hint="eastAsia" w:ascii="宋体" w:hAnsi="宋体" w:eastAsia="宋体" w:cs="宋体"/>
          <w:bCs/>
          <w:sz w:val="21"/>
          <w:szCs w:val="21"/>
        </w:rPr>
        <w:t>电热恒温水浴。</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4.2.2</w:t>
      </w:r>
      <w:r>
        <w:rPr>
          <w:rFonts w:hint="eastAsia" w:ascii="宋体" w:hAnsi="宋体" w:eastAsia="宋体" w:cs="宋体"/>
          <w:bCs/>
          <w:sz w:val="21"/>
          <w:szCs w:val="21"/>
        </w:rPr>
        <w:t>外观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称取试样少许放入洁净干燥的比色管中, 在非直射的自然光下目测其外观。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4.2.3密度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取样品原液按GB/T 4472 化工产品密度、相对密度的测定进行测定。</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4.2.4显色反应</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rPr>
        <w:t>取样品50m</w:t>
      </w:r>
      <w:r>
        <w:rPr>
          <w:rFonts w:hint="eastAsia" w:ascii="宋体" w:hAnsi="宋体" w:eastAsia="宋体" w:cs="宋体"/>
          <w:bCs/>
          <w:sz w:val="21"/>
          <w:szCs w:val="21"/>
          <w:lang w:val="en-US" w:eastAsia="zh-CN"/>
        </w:rPr>
        <w:t>L</w:t>
      </w:r>
      <w:r>
        <w:rPr>
          <w:rFonts w:hint="eastAsia" w:ascii="宋体" w:hAnsi="宋体" w:eastAsia="宋体" w:cs="宋体"/>
          <w:bCs/>
          <w:sz w:val="21"/>
          <w:szCs w:val="21"/>
        </w:rPr>
        <w:t>,加入100m</w:t>
      </w:r>
      <w:r>
        <w:rPr>
          <w:rFonts w:hint="eastAsia" w:ascii="宋体" w:hAnsi="宋体" w:eastAsia="宋体" w:cs="宋体"/>
          <w:bCs/>
          <w:sz w:val="21"/>
          <w:szCs w:val="21"/>
          <w:lang w:val="en-US" w:eastAsia="zh-CN"/>
        </w:rPr>
        <w:t>L</w:t>
      </w:r>
      <w:r>
        <w:rPr>
          <w:rFonts w:hint="eastAsia" w:ascii="宋体" w:hAnsi="宋体" w:eastAsia="宋体" w:cs="宋体"/>
          <w:bCs/>
          <w:sz w:val="21"/>
          <w:szCs w:val="21"/>
        </w:rPr>
        <w:t>烧杯中，在恒温水浴中加热至50℃ 。向样品中加入10m</w:t>
      </w:r>
      <w:r>
        <w:rPr>
          <w:rFonts w:hint="eastAsia" w:ascii="宋体" w:hAnsi="宋体" w:eastAsia="宋体" w:cs="宋体"/>
          <w:bCs/>
          <w:sz w:val="21"/>
          <w:szCs w:val="21"/>
          <w:lang w:val="en-US" w:eastAsia="zh-CN"/>
        </w:rPr>
        <w:t>L</w:t>
      </w:r>
      <w:r>
        <w:rPr>
          <w:rFonts w:hint="eastAsia" w:ascii="宋体" w:hAnsi="宋体" w:eastAsia="宋体" w:cs="宋体"/>
          <w:bCs/>
          <w:sz w:val="21"/>
          <w:szCs w:val="21"/>
        </w:rPr>
        <w:t>碘-碘化钾溶液。样品立即显蓝色。如不显色，视为不合格</w:t>
      </w:r>
      <w:r>
        <w:rPr>
          <w:rFonts w:hint="eastAsia" w:ascii="宋体" w:hAnsi="宋体" w:eastAsia="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4.2.5</w:t>
      </w:r>
      <w:r>
        <w:rPr>
          <w:rFonts w:hint="eastAsia" w:ascii="宋体" w:hAnsi="宋体" w:eastAsia="宋体" w:cs="宋体"/>
          <w:bCs/>
          <w:sz w:val="21"/>
          <w:szCs w:val="21"/>
        </w:rPr>
        <w:t>动力粘度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取适量原液样品，用旋转粘度计测定其动力粘度。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1）打开旋转粘度计，将水浴温度调至25℃。</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2）将装有待测原液的量杯置于水浴中。</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3）当待测样温度至25℃时，使用升降台，使样品上升；或旋动粘度计升降架，使粘度计缓慢下降，转子逐渐浸入样品中，直至转子上的标记与液面相平为止，保护架、转子在容器中心。调整粘度计位置至水平。</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4）转子在样品中浸泡3min，使转子温度与样品温度一致。</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5）按“测量”键，开始测量。当测量数值稳定时读数。</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6）每个试样应测量两次。第一次测量完毕后，按“复位”键，待转子停止转动后，按“测量”键，开始第二次测量。</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7）测试结果取两次测量的算术平均值。两次测量结果之差小于或等于两次测量结果平均值的10%，否则测量第三次。</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4.2.6有效含量</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采用凯氏定氮法。</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4.2.6</w:t>
      </w:r>
      <w:r>
        <w:rPr>
          <w:rFonts w:hint="eastAsia" w:ascii="宋体" w:hAnsi="宋体" w:eastAsia="宋体" w:cs="宋体"/>
          <w:bCs/>
          <w:sz w:val="21"/>
          <w:szCs w:val="21"/>
        </w:rPr>
        <w:t>.1 方法提要</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将产品用硫酸钾和硫酸铜在硫酸溶液中进行分解，使有效成分中的氮转变成胺，在碱性溶液中，用直接蒸馏法进行蒸馏以硼酸溶液吸收，用酸碱滴定法测定氮含量，再根据每摩尔相当的有效成分的质量折算出有效成分的含量。</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4.2.6.2 分析步骤</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有效物含量测试：</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称取1.0g样品，称准至0.0002g，置于500mL定氮瓶中，加10.78g混合加速剂，沿瓶壁加入20mL硫酸，并用硫酸将附着于瓶壁的粉沫洗至瓶中。瓶口置一玻璃漏斗，然后将烧瓶成45°角斜置装好，缓慢加热，使溶液温度保持在沸点以下。泡沫停止发生后，强热使其沸腾，待溶液由黑色逐渐转变为蓝绿色澄清透明，再继续加热30min。冷却，沿瓶壁缓缓加入200mL水，摇匀，冷却。预先取50ml硼酸溶液（20g/L），加8滴甲基红­次甲基蓝混和指示液于500mL锥形瓶中，装好蒸馏装置，再将凯氏定氮瓶从蒸馏弯管处移开，沿瓶壁慢慢加入120mL氢氧化钠溶液流至瓶底，自成一液层，再加2g锌粒，连好装置，以备蒸馏。轻轻摇动凯氏定氮瓶，使内容物混合，加热蒸馏，当锥形瓶中液体升至275mL时，停止加热，用水淋洗冷凝管至300mL，用盐酸标准溶液滴定至溶液由绿色变为灰紫色，记录所耗盐酸体积，同时作空白试验。</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分析结果的表述：以质量百分数表示的产品有效含量x按下式计算：</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rPr>
      </w:pPr>
      <m:oMath>
        <m:r>
          <w:rPr>
            <w:rFonts w:hint="default" w:ascii="Cambria Math" w:hAnsi="Cambria Math" w:eastAsia="Cambria Math" w:cs="Cambria Math"/>
          </w:rPr>
          <m:t>x</m:t>
        </m:r>
        <m:r>
          <m:rPr>
            <m:sty m:val="p"/>
          </m:rPr>
          <w:rPr>
            <w:rFonts w:hint="default" w:ascii="Cambria Math" w:hAnsi="Cambria Math" w:eastAsia="Cambria Math" w:cs="Cambria Math"/>
          </w:rPr>
          <m:t>=</m:t>
        </m:r>
        <m:f>
          <m:fPr>
            <m:ctrlPr>
              <w:rPr>
                <w:rFonts w:hint="default" w:ascii="Cambria Math" w:hAnsi="Cambria Math" w:eastAsia="Cambria Math"/>
              </w:rPr>
            </m:ctrlPr>
          </m:fPr>
          <m:num>
            <m:d>
              <m:dPr>
                <m:ctrlPr>
                  <w:rPr>
                    <w:rFonts w:hint="default" w:ascii="Cambria Math" w:hAnsi="Cambria Math"/>
                    <w:i/>
                  </w:rPr>
                </m:ctrlPr>
              </m:dPr>
              <m:e>
                <m:sSub>
                  <m:sSubPr>
                    <m:ctrlPr>
                      <w:rPr>
                        <w:rFonts w:hint="default" w:ascii="Cambria Math" w:hAnsi="Cambria Math"/>
                        <w:i/>
                      </w:rPr>
                    </m:ctrlPr>
                  </m:sSubPr>
                  <m:e>
                    <m:r>
                      <w:rPr>
                        <w:rFonts w:hint="default" w:ascii="Cambria Math" w:hAnsi="Cambria Math"/>
                      </w:rPr>
                      <m:t>v</m:t>
                    </m:r>
                    <m:ctrlPr>
                      <w:rPr>
                        <w:rFonts w:hint="default" w:ascii="Cambria Math" w:hAnsi="Cambria Math"/>
                        <w:i/>
                      </w:rPr>
                    </m:ctrlPr>
                  </m:e>
                  <m:sub>
                    <m:r>
                      <w:rPr>
                        <w:rFonts w:hint="default" w:ascii="Cambria Math" w:hAnsi="Cambria Math"/>
                      </w:rPr>
                      <m:t>1</m:t>
                    </m:r>
                    <m:ctrlPr>
                      <w:rPr>
                        <w:rFonts w:hint="default" w:ascii="Cambria Math" w:hAnsi="Cambria Math"/>
                        <w:i/>
                      </w:rPr>
                    </m:ctrlPr>
                  </m:sub>
                </m:sSub>
                <m:r>
                  <w:rPr>
                    <w:rFonts w:hint="default" w:ascii="Cambria Math" w:hAnsi="Cambria Math"/>
                  </w:rPr>
                  <m:t>-</m:t>
                </m:r>
                <m:sSub>
                  <m:sSubPr>
                    <m:ctrlPr>
                      <w:rPr>
                        <w:rFonts w:hint="default" w:ascii="Cambria Math" w:hAnsi="Cambria Math"/>
                        <w:i/>
                      </w:rPr>
                    </m:ctrlPr>
                  </m:sSubPr>
                  <m:e>
                    <m:r>
                      <w:rPr>
                        <w:rFonts w:hint="default" w:ascii="Cambria Math" w:hAnsi="Cambria Math"/>
                      </w:rPr>
                      <m:t>v</m:t>
                    </m:r>
                    <m:ctrlPr>
                      <w:rPr>
                        <w:rFonts w:hint="default" w:ascii="Cambria Math" w:hAnsi="Cambria Math"/>
                        <w:i/>
                      </w:rPr>
                    </m:ctrlPr>
                  </m:e>
                  <m:sub>
                    <m:r>
                      <w:rPr>
                        <w:rFonts w:hint="default" w:ascii="Cambria Math" w:hAnsi="Cambria Math"/>
                      </w:rPr>
                      <m:t>2</m:t>
                    </m:r>
                    <m:ctrlPr>
                      <w:rPr>
                        <w:rFonts w:hint="default" w:ascii="Cambria Math" w:hAnsi="Cambria Math"/>
                        <w:i/>
                      </w:rPr>
                    </m:ctrlPr>
                  </m:sub>
                </m:sSub>
                <m:ctrlPr>
                  <w:rPr>
                    <w:rFonts w:hint="default" w:ascii="Cambria Math" w:hAnsi="Cambria Math"/>
                    <w:i/>
                  </w:rPr>
                </m:ctrlPr>
              </m:e>
            </m:d>
            <m:r>
              <w:rPr>
                <w:rFonts w:hint="default" w:ascii="Cambria Math" w:hAnsi="Cambria Math"/>
              </w:rPr>
              <m:t>∙c∙e</m:t>
            </m:r>
            <m:ctrlPr>
              <w:rPr>
                <w:rFonts w:hint="default" w:ascii="Cambria Math" w:hAnsi="Cambria Math" w:eastAsia="Cambria Math"/>
              </w:rPr>
            </m:ctrlPr>
          </m:num>
          <m:den>
            <m:r>
              <m:rPr>
                <m:sty m:val="p"/>
              </m:rPr>
              <w:rPr>
                <w:rFonts w:hint="default" w:ascii="Cambria Math" w:hAnsi="Cambria Math" w:eastAsia="Cambria Math" w:cs="Cambria Math"/>
              </w:rPr>
              <m:t>m</m:t>
            </m:r>
            <m:ctrlPr>
              <w:rPr>
                <w:rFonts w:hint="default" w:ascii="Cambria Math" w:hAnsi="Cambria Math" w:eastAsia="Cambria Math"/>
              </w:rPr>
            </m:ctrlPr>
          </m:den>
        </m:f>
        <m:r>
          <w:rPr>
            <w:rFonts w:hint="default" w:ascii="Cambria Math" w:hAnsi="Cambria Math" w:eastAsia="Cambria Math"/>
          </w:rPr>
          <m:t>×100%</m:t>
        </m:r>
      </m:oMath>
      <w:r>
        <w:rPr>
          <w:rFonts w:hint="eastAsia" w:ascii="宋体" w:hAnsi="宋体" w:eastAsia="宋体" w:cs="宋体"/>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式中：</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v1：试样消耗盐酸标准滴定溶液的体积数值，单位为毫升（mL）；</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v2：空白消耗盐酸标准滴定溶液的体积数值，单位为毫升（mL）；</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c：盐酸标准滴定溶液浓度的准确数值，单位为摩尔每升（mol/L）；</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m：试样的质量数值，单位为克（g）；</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outlineLvl w:val="9"/>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e：与1毫摩尔盐酸标准滴定溶液相当的以克表示的有效成分的质量，0.0658g/mmol。</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4.3 </w:t>
      </w:r>
      <w:r>
        <w:rPr>
          <w:rFonts w:hint="eastAsia" w:ascii="宋体" w:hAnsi="宋体" w:eastAsia="宋体" w:cs="宋体"/>
          <w:bCs/>
          <w:sz w:val="21"/>
          <w:szCs w:val="21"/>
        </w:rPr>
        <w:t>配伍性要求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按现有产品生产技术要求，同其它原料配制的成品满足标准Q/SY</w:t>
      </w:r>
      <w:r>
        <w:rPr>
          <w:rFonts w:hint="eastAsia" w:ascii="宋体" w:hAnsi="宋体" w:eastAsia="宋体" w:cs="宋体"/>
          <w:bCs/>
          <w:sz w:val="21"/>
          <w:szCs w:val="21"/>
          <w:lang w:val="en-US" w:eastAsia="zh-CN"/>
        </w:rPr>
        <w:t xml:space="preserve">JL 16019-2019 《采油用硫化氢吸附剂 胺醛复合物 XY-619》 </w:t>
      </w:r>
      <w:r>
        <w:rPr>
          <w:rFonts w:hint="eastAsia" w:ascii="宋体" w:hAnsi="宋体" w:eastAsia="宋体" w:cs="宋体"/>
          <w:bCs/>
          <w:sz w:val="21"/>
          <w:szCs w:val="21"/>
        </w:rPr>
        <w:t>中各项性能指标要求。</w:t>
      </w:r>
    </w:p>
    <w:p>
      <w:pPr>
        <w:pStyle w:val="4"/>
        <w:keepNext w:val="0"/>
        <w:keepLines w:val="0"/>
        <w:pageBreakBefore w:val="0"/>
        <w:kinsoku/>
        <w:wordWrap/>
        <w:overflowPunct/>
        <w:topLinePunct w:val="0"/>
        <w:autoSpaceDE/>
        <w:autoSpaceDN/>
        <w:bidi w:val="0"/>
        <w:adjustRightInd/>
        <w:snapToGrid/>
        <w:spacing w:before="156" w:beforeLines="50" w:beforeAutospacing="0" w:after="156" w:afterLines="50" w:afterAutospacing="0" w:line="288" w:lineRule="auto"/>
        <w:ind w:firstLine="420" w:firstLineChars="200"/>
        <w:textAlignment w:val="auto"/>
        <w:outlineLvl w:val="9"/>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bCs/>
          <w:sz w:val="21"/>
          <w:szCs w:val="21"/>
          <w:lang w:val="en-US" w:eastAsia="zh-CN"/>
        </w:rPr>
        <w:t>.4</w:t>
      </w:r>
      <w:r>
        <w:rPr>
          <w:rFonts w:hint="eastAsia" w:ascii="宋体" w:hAnsi="宋体" w:eastAsia="宋体" w:cs="宋体"/>
          <w:bCs/>
          <w:sz w:val="21"/>
          <w:szCs w:val="21"/>
        </w:rPr>
        <w:t xml:space="preserve"> 产品要求</w:t>
      </w:r>
    </w:p>
    <w:p>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u w:val="single"/>
        </w:rPr>
      </w:pPr>
      <w:r>
        <w:rPr>
          <w:rFonts w:hint="eastAsia" w:ascii="宋体" w:hAnsi="宋体" w:eastAsia="宋体" w:cs="宋体"/>
          <w:sz w:val="21"/>
          <w:szCs w:val="21"/>
        </w:rPr>
        <w:t>4</w:t>
      </w:r>
      <w:r>
        <w:rPr>
          <w:rFonts w:hint="eastAsia" w:ascii="宋体" w:hAnsi="宋体" w:eastAsia="宋体" w:cs="宋体"/>
          <w:sz w:val="21"/>
          <w:szCs w:val="21"/>
          <w:lang w:val="en-US" w:eastAsia="zh-CN"/>
        </w:rPr>
        <w:t>.4.1</w:t>
      </w:r>
      <w:r>
        <w:rPr>
          <w:rFonts w:hint="eastAsia" w:ascii="宋体" w:hAnsi="宋体" w:eastAsia="宋体" w:cs="宋体"/>
          <w:sz w:val="21"/>
          <w:szCs w:val="21"/>
        </w:rPr>
        <w:t>质量要求及技术标准：所供产品质量合格，符合本次招标技术要求。</w:t>
      </w:r>
    </w:p>
    <w:p>
      <w:pPr>
        <w:keepNext w:val="0"/>
        <w:keepLines w:val="0"/>
        <w:pageBreakBefore w:val="0"/>
        <w:tabs>
          <w:tab w:val="left" w:pos="14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4.2</w:t>
      </w:r>
      <w:r>
        <w:rPr>
          <w:rFonts w:hint="eastAsia" w:ascii="宋体" w:hAnsi="宋体" w:eastAsia="宋体" w:cs="宋体"/>
          <w:sz w:val="21"/>
          <w:szCs w:val="21"/>
        </w:rPr>
        <w:t xml:space="preserve">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pPr>
        <w:keepNext w:val="0"/>
        <w:keepLines w:val="0"/>
        <w:pageBreakBefore w:val="0"/>
        <w:tabs>
          <w:tab w:val="left" w:pos="1480"/>
        </w:tabs>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 样品检测</w:t>
      </w:r>
    </w:p>
    <w:p>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黑体" w:hAnsi="宋体" w:eastAsia="黑体"/>
          <w:bCs/>
          <w:kern w:val="2"/>
          <w:sz w:val="28"/>
          <w:szCs w:val="28"/>
          <w:lang w:val="en-US" w:eastAsia="zh-CN"/>
        </w:rPr>
      </w:pPr>
      <w:r>
        <w:rPr>
          <w:rFonts w:hint="eastAsia" w:ascii="宋体" w:hAnsi="宋体" w:eastAsia="宋体" w:cs="宋体"/>
          <w:bCs/>
          <w:color w:val="auto"/>
          <w:sz w:val="21"/>
          <w:szCs w:val="21"/>
          <w:lang w:val="en-US" w:eastAsia="zh-CN"/>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Pr>
          <w:rFonts w:hint="eastAsia" w:ascii="宋体" w:hAnsi="宋体" w:eastAsia="宋体" w:cs="宋体"/>
          <w:bCs/>
          <w:sz w:val="21"/>
          <w:szCs w:val="21"/>
        </w:rPr>
        <w:t>Q/SY</w:t>
      </w:r>
      <w:r>
        <w:rPr>
          <w:rFonts w:hint="eastAsia" w:ascii="宋体" w:hAnsi="宋体" w:eastAsia="宋体" w:cs="宋体"/>
          <w:bCs/>
          <w:sz w:val="21"/>
          <w:szCs w:val="21"/>
          <w:lang w:val="en-US" w:eastAsia="zh-CN"/>
        </w:rPr>
        <w:t xml:space="preserve">JL 16019-2019 《采油用硫化氢吸附剂 胺醛复合物 XY-619》 </w:t>
      </w:r>
      <w:r>
        <w:rPr>
          <w:rFonts w:hint="eastAsia" w:ascii="宋体" w:hAnsi="宋体" w:eastAsia="宋体" w:cs="宋体"/>
          <w:bCs/>
          <w:color w:val="auto"/>
          <w:sz w:val="21"/>
          <w:szCs w:val="21"/>
          <w:lang w:val="en-US" w:eastAsia="zh-CN"/>
        </w:rPr>
        <w:t>）并出具检验报告，两次检验均合格者中标，下发中标通知书。检测费由第一中标候选人自行到招标人指定的检测机构交款，若样品不合格或逾期送样（接到招标人通知后 3 个工作日内送样），则顺延下一名次中标候选人，直至产生合格者。若全部中标候选人均不合格，则重新招标。</w:t>
      </w:r>
      <w:bookmarkStart w:id="34" w:name="_Toc15481775"/>
    </w:p>
    <w:p>
      <w:pPr>
        <w:pStyle w:val="2"/>
        <w:bidi w:val="0"/>
        <w:rPr>
          <w:rFonts w:hint="eastAsia" w:ascii="黑体" w:hAnsi="宋体" w:eastAsia="黑体"/>
          <w:bCs/>
          <w:kern w:val="2"/>
          <w:sz w:val="28"/>
          <w:szCs w:val="28"/>
          <w:lang w:val="en-US" w:eastAsia="zh-CN"/>
        </w:rPr>
      </w:pPr>
      <w:r>
        <w:rPr>
          <w:rFonts w:hint="eastAsia" w:ascii="黑体" w:hAnsi="宋体" w:eastAsia="黑体"/>
          <w:bCs/>
          <w:kern w:val="2"/>
          <w:sz w:val="28"/>
          <w:szCs w:val="28"/>
          <w:lang w:val="en-US" w:eastAsia="zh-CN"/>
        </w:rPr>
        <w:br w:type="page"/>
      </w:r>
      <w:bookmarkStart w:id="35" w:name="_Toc26612"/>
      <w:r>
        <w:rPr>
          <w:rFonts w:hint="eastAsia" w:ascii="黑体" w:hAnsi="宋体" w:eastAsia="黑体"/>
          <w:bCs/>
          <w:kern w:val="2"/>
          <w:sz w:val="28"/>
          <w:szCs w:val="28"/>
          <w:lang w:val="en-US" w:eastAsia="zh-CN"/>
        </w:rPr>
        <w:t>附件3：《中国石油天然气集团有限公司投标人失信行为管理办法（试行）》</w:t>
      </w:r>
      <w:bookmarkEnd w:id="35"/>
    </w:p>
    <w:p>
      <w:pPr>
        <w:spacing w:line="288" w:lineRule="auto"/>
        <w:outlineLvl w:val="2"/>
        <w:rPr>
          <w:rFonts w:hint="eastAsia"/>
        </w:rPr>
      </w:pPr>
      <w:bookmarkStart w:id="36" w:name="_Toc9666"/>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4"/>
      <w:bookmarkEnd w:id="36"/>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2" name="椭圆 2"/>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ALA/+h4wEAAK0D&#10;AAAOAAAAAAAAAAEAIAAAACIBAABkcnMvZTJvRG9jLnhtbFBLBQYAAAAABgAGAFkBAAB3BQ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4297680" cy="304800"/>
            <wp:effectExtent l="0" t="0" r="7620" b="0"/>
            <wp:docPr id="1" name="图片 2"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C:\Users\abc\AppData\Roaming\Tencent\Users\42054949\QQ\WinTemp\RichOle\HPR}P)YYPQH$3%{KEZ[)3X8.png"/>
                    <pic:cNvPicPr>
                      <a:picLocks noChangeAspect="1"/>
                    </pic:cNvPicPr>
                  </pic:nvPicPr>
                  <pic:blipFill>
                    <a:blip r:embed="rId4"/>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3" name="椭圆 3"/>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Gnzc1wAAAAoB&#10;AAAPAAAAAAAAAAEAIAAAACIAAABkcnMvZG93bnJldi54bWxQSwECFAAUAAAACACHTuJAyXnEBeMB&#10;AACtAwAADgAAAAAAAAABACAAAAAmAQAAZHJzL2Uyb0RvYy54bWxQSwUGAAAAAAYABgBZAQAAewUA&#10;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325745" cy="1059815"/>
            <wp:effectExtent l="0" t="0" r="8255" b="6985"/>
            <wp:docPr id="4" name="图片 3"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说明: C:\Users\abc\AppData\Roaming\Tencent\Users\42054949\QQ\WinTemp\RichOle\U3QC4~N`3O}B54}T%5NKXY2.png"/>
                    <pic:cNvPicPr>
                      <a:picLocks noChangeAspect="1"/>
                    </pic:cNvPicPr>
                  </pic:nvPicPr>
                  <pic:blipFill>
                    <a:blip r:embed="rId5"/>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5" name="椭圆 5"/>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I37NLXAAAA&#10;CAEAAA8AAAAAAAAAAQAgAAAAIgAAAGRycy9kb3ducmV2LnhtbFBLAQIUABQAAAAIAIdO4kCn04P5&#10;5QEAAK4DAAAOAAAAAAAAAAEAIAAAACYBAABkcnMvZTJvRG9jLnhtbFBLBQYAAAAABgAGAFkBAAB9&#10;BQAAAAA=&#10;">
                <v:fill on="f" focussize="0,0"/>
                <v:stroke weight="2pt" color="#FF0000" joinstyle="round"/>
                <v:imagedata o:title=""/>
                <o:lock v:ext="edit" aspectratio="f"/>
              </v:shape>
            </w:pict>
          </mc:Fallback>
        </mc:AlternateContent>
      </w:r>
      <w:r>
        <w:rPr>
          <w:rFonts w:hint="eastAsia" w:ascii="宋体" w:hAnsi="宋体" w:cs="宋体"/>
          <w:sz w:val="21"/>
          <w:szCs w:val="21"/>
        </w:rPr>
        <w:drawing>
          <wp:inline distT="0" distB="0" distL="114300" distR="114300">
            <wp:extent cx="5265420" cy="1074420"/>
            <wp:effectExtent l="0" t="0" r="11430" b="11430"/>
            <wp:docPr id="6"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说明: C:\Users\abc\AppData\Roaming\Tencent\Users\42054949\QQ\WinTemp\RichOle\PI$9P51%_3)$`]FJTC])1M3.png"/>
                    <pic:cNvPicPr>
                      <a:picLocks noChangeAspect="1"/>
                    </pic:cNvPicPr>
                  </pic:nvPicPr>
                  <pic:blipFill>
                    <a:blip r:embed="rId6"/>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9" name="椭圆 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8jV9oAAAAKAQAADwAAAAAAAAABACAAAAAiAAAAZHJzL2Rvd25yZXYu&#10;eG1sUEsBAhQAFAAAAAgAh07iQDGCmk35AQAA3AMAAA4AAAAAAAAAAQAgAAAAKQEAAGRycy9lMm9E&#10;b2MueG1sUEsFBgAAAAAGAAYAWQEAAJQFA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8" name="椭圆 8"/>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Ah8m7b3AQAA3AMAAA4AAAAAAAAAAQAgAAAAKAEAAGRycy9lMm9Eb2Mu&#10;eG1sUEsFBgAAAAAGAAYAWQEAAJEFAAAAAA==&#10;">
                <v:fill on="f" focussize="0,0"/>
                <v:stroke weight="2pt" color="#FF0000" joinstyle="round"/>
                <v:imagedata o:title=""/>
                <o:lock v:ext="edit" aspectratio="f"/>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7" name="椭圆 7"/>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NE8y9gAAAAIAQAADwAAAAAAAAABACAAAAAiAAAAZHJzL2Rvd25yZXYueG1s&#10;UEsBAhQAFAAAAAgAh07iQKhkxo/4AQAA3AMAAA4AAAAAAAAAAQAgAAAAJwEAAGRycy9lMm9Eb2Mu&#10;eG1sUEsFBgAAAAAGAAYAWQEAAJEFAAAAAA==&#10;">
                <v:fill on="f" focussize="0,0"/>
                <v:stroke weight="2pt" color="#FF0000" joinstyle="round"/>
                <v:imagedata o:title=""/>
                <o:lock v:ext="edit" aspectratio="f"/>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10" name="椭圆 10"/>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fjDCp/gBAADeAwAADgAAAAAAAAABACAAAAApAQAAZHJzL2Uyb0Rv&#10;Yy54bWxQSwUGAAAAAAYABgBZAQAAkwUAAAAA&#10;">
                <v:fill on="f" focussize="0,0"/>
                <v:stroke weight="2pt" color="#FF0000" joinstyle="round"/>
                <v:imagedata o:title=""/>
                <o:lock v:ext="edit" aspectratio="f"/>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11"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说明: C:\Users\abc\AppData\Roaming\Tencent\Users\42054949\QQ\WinTemp\RichOle\PI$9P51%_3)$`]FJTC])1M3.png"/>
                    <pic:cNvPicPr>
                      <a:picLocks noChangeAspect="1"/>
                    </pic:cNvPicPr>
                  </pic:nvPicPr>
                  <pic:blipFill>
                    <a:blip r:embed="rId6"/>
                    <a:srcRect r="-473"/>
                    <a:stretch>
                      <a:fillRect/>
                    </a:stretch>
                  </pic:blipFill>
                  <pic:spPr>
                    <a:xfrm>
                      <a:off x="0" y="0"/>
                      <a:ext cx="5280660" cy="10287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91EA9"/>
    <w:rsid w:val="100500C6"/>
    <w:rsid w:val="11891EA9"/>
    <w:rsid w:val="18E0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3"/>
    <w:basedOn w:val="1"/>
    <w:next w:val="1"/>
    <w:qFormat/>
    <w:uiPriority w:val="0"/>
    <w:pPr>
      <w:keepNext/>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outlineLvl w:val="2"/>
    </w:pPr>
    <w:rPr>
      <w:rFonts w:ascii="MS Sans Serif" w:hAnsi="MS Sans Serif"/>
      <w:sz w:val="24"/>
      <w:szCs w:val="20"/>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1"/>
    <w:qFormat/>
    <w:uiPriority w:val="0"/>
    <w:pPr>
      <w:widowControl w:val="0"/>
      <w:autoSpaceDE w:val="0"/>
      <w:autoSpaceDN w:val="0"/>
      <w:adjustRightInd w:val="0"/>
      <w:spacing w:line="315" w:lineRule="atLeast"/>
      <w:ind w:firstLine="424" w:firstLineChars="202"/>
      <w:jc w:val="both"/>
    </w:pPr>
    <w:rPr>
      <w:rFonts w:ascii="宋体"/>
      <w:sz w:val="21"/>
      <w:szCs w:val="20"/>
    </w:rPr>
  </w:style>
  <w:style w:type="paragraph" w:styleId="4">
    <w:name w:val="Normal (Web)"/>
    <w:basedOn w:val="1"/>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2020-08-04T05:52:00Z</dcterms:created>
  <dc:creator>zhengbin-jl</dc:creator>
  <cp:lastModifiedBy>zhengbin-jl</cp:lastModifiedBy>
  <dcterms:modified xsi:type="dcterms:W3CDTF">2020-08-04T07:11:54Z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