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utlineLvl w:val="0"/>
        <w:rPr>
          <w:rFonts w:ascii="Times New Roman" w:hAnsi="Times New Roman" w:eastAsia="方正小标宋简体" w:cs="方正小标宋简体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napToGrid/>
          <w:kern w:val="2"/>
          <w:sz w:val="44"/>
          <w:szCs w:val="44"/>
          <w:lang w:eastAsia="zh-CN"/>
        </w:rPr>
        <w:t>生物制造标志性产品名单（第一批）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楷体_GB2312" w:hAnsi="楷体_GB2312" w:eastAsia="楷体_GB2312" w:cs="楷体_GB2312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Cs/>
          <w:snapToGrid/>
          <w:kern w:val="2"/>
          <w:sz w:val="32"/>
          <w:szCs w:val="32"/>
          <w:lang w:eastAsia="zh-CN"/>
        </w:rPr>
        <w:t>（公示稿）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楷体_GB2312" w:hAnsi="楷体_GB2312" w:eastAsia="楷体_GB2312" w:cs="楷体_GB2312"/>
          <w:bCs/>
          <w:snapToGrid/>
          <w:kern w:val="2"/>
          <w:sz w:val="32"/>
          <w:szCs w:val="32"/>
          <w:lang w:eastAsia="zh-CN"/>
        </w:rPr>
      </w:pPr>
    </w:p>
    <w:tbl>
      <w:tblPr>
        <w:tblStyle w:val="7"/>
        <w:tblW w:w="14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010"/>
        <w:gridCol w:w="2338"/>
        <w:gridCol w:w="1538"/>
        <w:gridCol w:w="970"/>
        <w:gridCol w:w="6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Header/>
          <w:jc w:val="center"/>
        </w:trPr>
        <w:tc>
          <w:tcPr>
            <w:tcW w:w="672" w:type="dxa"/>
            <w:shd w:val="clear" w:color="auto" w:fill="FDE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lang w:eastAsia="zh-CN"/>
              </w:rPr>
              <w:t>序号</w:t>
            </w:r>
          </w:p>
        </w:tc>
        <w:tc>
          <w:tcPr>
            <w:tcW w:w="2010" w:type="dxa"/>
            <w:shd w:val="clear" w:color="auto" w:fill="FDE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</w:rPr>
              <w:t>产品名称</w:t>
            </w:r>
          </w:p>
        </w:tc>
        <w:tc>
          <w:tcPr>
            <w:tcW w:w="2338" w:type="dxa"/>
            <w:shd w:val="clear" w:color="auto" w:fill="FDE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</w:rPr>
              <w:t>申报单位</w:t>
            </w:r>
          </w:p>
        </w:tc>
        <w:tc>
          <w:tcPr>
            <w:tcW w:w="1538" w:type="dxa"/>
            <w:shd w:val="clear" w:color="auto" w:fill="FDE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lang w:eastAsia="zh-CN"/>
              </w:rPr>
              <w:t>所属领域</w:t>
            </w:r>
          </w:p>
        </w:tc>
        <w:tc>
          <w:tcPr>
            <w:tcW w:w="970" w:type="dxa"/>
            <w:shd w:val="clear" w:color="auto" w:fill="FDE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lang w:eastAsia="zh-CN"/>
              </w:rPr>
              <w:t>所在地</w:t>
            </w:r>
          </w:p>
        </w:tc>
        <w:tc>
          <w:tcPr>
            <w:tcW w:w="6573" w:type="dxa"/>
            <w:shd w:val="clear" w:color="auto" w:fill="FDE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lang w:eastAsia="zh-CN"/>
              </w:rPr>
              <w:t>产品简介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1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乙醇梭菌蛋白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北京首朗生物科技有限公司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食品、饲料及添加剂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北京市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乙醇梭菌蛋白是经微生物发酵、提取生产的蛋白质。本产品以工业尾气中一氧化碳、二氧化碳等作为微生物的营养物质，通过乙醇梭菌发酵生产，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是现有饲用蛋白的有益补充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2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阿洛酮糖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微元合成生物技术（北京）有限公司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食品、饲料及添加剂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北京市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阿洛酮糖是存在于小麦、无花果等植物中的糖类物质，其口感、甜感与蔗糖接近，但热量极低，可作为甜味剂用于焙烤食品、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冰激凌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、饮料等产品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。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本产品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通过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微生物发酵生产，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较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大幅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度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提升生产效率。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3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聚羟基脂肪酸酯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北京微构工场生物技术有限公司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生物基材料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北京市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聚羟基脂肪酸酯（PHA）是存在于微生物中的天然高分子材料，易于生物降解，有良好的人体组织相容性，可用于替代塑料制品，减少“白色污染”，或用于医用材料、药物缓释载体等。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本产品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基于自主研发盐单胞菌工程菌株，创新性构建海水发酵工艺，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可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较大幅度降低生产成本。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4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纳基奥仑赛注射液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合源生物科技（天津）有限公司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生物制药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天津市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纳基奥仑赛注射液主要成分是嵌合CD19（一种B淋巴细胞表面的白细胞分化抗原）的CAR-T细胞，可精准识别肿瘤细胞表面抗原，从而引导患者自身T细胞对肿瘤细胞进行精准杀伤，用于复发或难治性急性淋巴细胞白血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病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等适应症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。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本产品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在细胞治疗领域实现突破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其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使用安全性、治疗有效性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有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较大幅度提升。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5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红景天苷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天津凯莱英生物科技有限公司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天然产物生物合成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天津市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红景天苷是传统中药红景天的重要活性成分，具有抗疲劳、抗缺氧等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作用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，用于保健食品、药品等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。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本产品通过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对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发酵菌株、关键酶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发酵工艺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进行优化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有效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提升产品纯度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及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生产效率。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6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β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丙氨酸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秦皇岛华恒生物工程有限公司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生物基化学品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河北省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β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丙氨酸参与合成泛酸等多种人体必需成分，用于医药、饲料、食品等。本产品基于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多尺度酶计算设计，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获得工业级微生物工程菌株，开发新型人工酶，实现β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丙氨酸新型绿色合成途径，有效降低产品生产成本，提升品质。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7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1,4-丁二胺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神舟生物科技有限责任公司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生物基化学品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内蒙古自治区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1,4-丁二胺用于植物生长调节剂、肥料添加剂等产品，或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用于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合成医药中间体、高分子材料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等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，传统通过化学合成生产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。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本产品通过构建大肠杆菌工程菌株，采用全细胞生物催化工艺，生产效率较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现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有发酵工艺显著提升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有助于构建绿色可持续生产模式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8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猪口蹄疫O型、A型二价灭活疫苗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金宇保灵生物药品公司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生物制药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内蒙古自治区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猪口蹄疫O型、A型二价灭活疫苗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用于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O型、A型猪口蹄疫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预防。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本产品采用细胞悬浮培养、抗原纯化浓缩等技术，对抗原进行反向遗传学改造，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提升了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生产效率、抗原匹配性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及免疫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效果稳定性。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9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多杀霉素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齐鲁制药（内蒙古）有限公司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天然产物生物合成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内蒙古自治区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多杀霉素最早由土壤中微生物发酵液分离得到，可作为生物农药用于农业害虫防治，对人、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其他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动物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以及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环境较为安全，具有可生物降解、环境友好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等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特性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。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本产品通过土壤放线菌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多刺糖多孢菌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工程菌株发酵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生产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，较大幅度提升生产效率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和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生产能力。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10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伏欣奇拜单抗注射液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长春金赛药业有限责任公司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生物制药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吉林省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伏欣奇拜单抗注射液是一种对促炎细胞因子白介素-1β（IL-1β）产生靶向抑制效果的单克隆抗体药物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用于治疗急性痛风发作、全身型幼年特发性关节炎等适应症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。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本产品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采用中国仓鼠卵巢细胞（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CHO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生产，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在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人源化IL-1β单克隆抗体药物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领域实现突破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，靶向特异性、使用安全性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有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较大幅度提升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11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维生素B</w:t>
            </w:r>
            <w:r>
              <w:rPr>
                <w:rFonts w:ascii="Times New Roman" w:hAnsi="Times New Roman" w:eastAsia="仿宋_GB2312" w:cs="Times New Roman"/>
                <w:color w:val="auto"/>
                <w:vertAlign w:val="subscript"/>
                <w:lang w:eastAsia="zh-CN" w:bidi="ar"/>
              </w:rPr>
              <w:t>5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黑龙江新和成生物科技有限公司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食品、饲料及添加剂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黑龙江省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维生素B</w:t>
            </w:r>
            <w:r>
              <w:rPr>
                <w:rFonts w:ascii="Times New Roman" w:hAnsi="Times New Roman" w:eastAsia="仿宋_GB2312" w:cs="Times New Roman"/>
                <w:color w:val="auto"/>
                <w:vertAlign w:val="subscript"/>
                <w:lang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是人体必需的一种水溶性B族维生素，具有参与营养代谢、维护皮肤和黏膜健康等生理活性，用于食品营养强化剂、饲料添加剂、化妆品等产品。本产品通过大肠杆菌菌株发酵生产，生产效率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和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规模化生产能力较动物肝脏提取或化学合成等传统生产方法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有明显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12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十二碳二元酸（月桂二酸）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上海凯赛生物技术股份有限公司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生物基化学品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上海市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十二碳二元酸（月桂二酸）是一种含12个碳原子的二元羧酸，可用于生产高性能工程塑料、润滑油、特种涂料等产品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。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本产品通过自主研发工程菌株，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率先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采用微生物发酵工艺生产，较传统化学生产工艺降低了生产成本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、提高了产品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13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β-乳球蛋白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上海昌进生物科技有限公司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食品、饲料及添加剂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上海市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β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-乳球蛋白是牛、羊等哺乳动物乳汁中的主要蛋白质之一，用于婴幼儿配方乳粉、乳饮料、焙烤食品等产品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生产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，传统通过乳及乳清提取，成本高、效率低。本产品通过克鲁维属酵母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工程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菌株发酵生产，生产效率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有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较大幅度提升。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14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聚羟基脂肪酸酯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*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上海蓝晶微生物科技有限公司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生物基材料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上海市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聚羟基脂肪酸酯（PHA）是存在于微生物中的天然高分子材料，易于生物降解，有良好的人体组织相容性，可用于替代塑料制品，减少“白色污染”，或用于医用材料、药物缓释载体等。本产品基于自主研发工程菌株，构建工程化、模块化、标准化发酵生产体系，可较大幅度提升生产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5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γ-聚谷氨酸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南京轩凯生物科技股份有限公司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天然产物生物合成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江苏省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γ-聚谷氨酸是一种由微生物合成的天然高分子聚合物，具有较好的吸水性、保水性、吸附性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和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生物相容性，用于土壤改良剂、医用卫生材料、食品添加剂、化妆品等产品。本产品以葡萄糖、蔗糖、糖蜜、甘油等单一或组合营养液作为微生物营养物质，基于自主研发的系列工程菌株，实现不同分子量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γ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-聚谷氨酸系列产品的可控合成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6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人成纤维细胞生长因子21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温州医科大学细胞生长因子药物和蛋白制剂国家工程研究中心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生物制药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浙江省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人成纤维细胞生长因子21是人体内一种细胞信号分子，在代谢调控、能量平衡、组织修复等生理过程中发挥重要作用。本产品通过大肠杆菌工程菌株发酵生产，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在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脑卒中伴随糖尿病急性损伤的治疗药物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领域实现突破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其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治疗有效性较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其他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有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明显提升。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7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磷酸氟达拉滨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浙江海正药业股份有限公司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生物制药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浙江省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磷酸氟达拉滨是一种核苷类似物，作为抗代谢抗肿瘤药，广泛用于慢性淋巴细胞白血病等血液系统疾病的治疗，传统通过化学合成生产。本产品采用酶法2步生物转化工艺生产，反应过程温和，具有较好的产品稳定性、可靠性和安全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8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L-丙氨酸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安徽华恒生物科技股份有限公司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食品、饲料及添加剂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/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生物基材料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安徽省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L-丙氨酸是一种天然存在的α-氨基酸，用于氨基酸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补充剂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、饲料及肥料添加剂等产品，或用于高分子材料合成。本产品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以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大肠杆菌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工程菌株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为底盘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，创新性应用厌氧发酵生产工艺，避免化学法污染问题，较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现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有发酵工艺简化生产步骤，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显著提升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生产效率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、降低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生产成本。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9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重组人乳头瘤病毒16/18型双价疫苗（大肠杆菌）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厦门万泰沧海生物技术有限公司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生物制药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福建省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重组人乳头瘤病毒16/18型双价疫苗（大肠杆菌）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主要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用于预防人乳头瘤病毒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引起的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宫颈癌，作为我国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首个自主研发上市的HPV疫苗，在预防HPV16、HPV18型相关癌前病变、持续性感染保护等方面具有较好性能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。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本产品创新性采用大肠杆菌工程菌株发酵工艺生产，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可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降低生产成本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、提高生产效率。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20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短柄镰刀菌蛋白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江西富祥生物科技有限公司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食品、饲料及添加剂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江西省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短柄镰刀菌蛋白是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经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短柄镰刀菌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发酵、提取生产的蛋白质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。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本产品通过自主研发的短柄镰刀菌工程菌株发酵生产，可用于蛋白粉、营养食品等产品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，践行了“大食物观”理念，拓展了新食品原料来源。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1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透明质酸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华熙生物科技股份公司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化妆品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/食品、饲料及添加剂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山东省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透明质酸是一种广泛存在于生物体内的天然多糖，具有较好的保水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能力和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生物相容性，主要用于化妆品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食品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医疗用品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等，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传统从鸡冠、牛眼玻璃体中提取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。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本产品基于自主研发的系列工程菌株，实现不同分子量透明质酸系列产品的可控合成，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较大幅度提升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生产效率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22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氨基葡萄糖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山东润德生物科技有限公司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食品、饲料及添加剂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山东省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氨基葡萄糖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是构成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人体关节软骨基质的一种物质，用于保健食品、药品等，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传统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采用强酸碱水解虾蟹壳生产。本产品采用发酵工艺生产，生产效率、规模化生产能力实现较大幅度提升。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23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bidi="ar"/>
              </w:rPr>
              <w:t>反式乌头酸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中国科学院青岛生物能源与过程研究所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生物基化学品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山东省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反式乌头酸是一种不饱和三羧酸，用于杀线虫剂、纳米材料交联剂等产品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，传统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多采用植物提取、化学合成等方法生产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。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本产品通过土曲霉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工程菌株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发酵生产，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显著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提升生产效率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和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规模化生产能力。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24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L-乳酸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河南金丹乳酸科技有限公司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食品、饲料及添加剂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河南省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L-乳酸用于食品添加剂等产品，或用于合成聚乳酸等高分子材料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。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本产品通过微生物发酵工艺生产，与化学合成等传统工艺相比，具有较好的产品纯度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和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热加工稳定性，生产效率实现较大幅度提升。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25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重组人血清白蛋白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武汉禾元生物科技股份有限公司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生物制药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湖北省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人血清白蛋白是血浆中含量最高的蛋白质，具有维持血浆胶体渗透压、运输内源性物质等生理活性。本产品通过水稻胚乳细胞生产，被称为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“稻米造血”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技术，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可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更好满足临床使用需求。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26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2’-岩藻糖基乳糖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嘉必优生物技术（武汉）股份有限公司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食品、饲料及添加剂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湖北省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2’-岩藻糖基乳糖是一种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母乳低聚糖，具有促进新生儿肠道和免疫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系统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发育等生理活性，用于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生产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婴幼儿配方乳粉等。本产品通过大肠杆菌工程菌株发酵生产，较大幅度提升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了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产品纯度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和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生产效率。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27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酵母蛋白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安琪酵母股份有限公司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食品、饲料及添加剂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湖北省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酵母蛋白是经酵母发酵、提取的蛋白质，用于食品配料等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。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本产品通过酿酒酵母工程菌株发酵生产，具有较好的产品纯度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和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加工稳定性。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28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精草铵膦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湖南利尔生物科技有限公司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生物基化学品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湖南省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精草铵膦是一种有机磷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化合物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可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作为除草剂或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用于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生产复配型农药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。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本产品采用酶催化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法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生产，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提升了产品使用效果，有助于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同类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化学农药的替代。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29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卡度尼利单抗注射液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康方药业有限公司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生物制药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广东省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卡度尼利单抗注射液是一种对PD-1（一种T细胞表面受体）、CTLA-4（一种T细胞蛋白质）产生双特异性靶向抑制效果的单克隆抗体药物，用于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治疗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复发或转移性宫颈癌、晚期胃癌等疾病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。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本产品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在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肿瘤双免疫治疗双抗新药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领域取得突破，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可同时阻断PD-1及CTLA-4与配体结合，具有较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好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的使用安全性和治疗有效性。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30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γ-氨基丁酸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南宁汉和生物科技股份有限公司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生物基化学品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广西壮族自治区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γ-氨基丁酸是一种天然非蛋白质氨基酸，具有降血压等生理活性，用于食品、饲料、肥料等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。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本产品通过枯草芽孢杆菌工程菌株发酵生产，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提升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了产品纯度、生产效率，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降低了生产成本。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31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赛立奇单抗注射液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重庆智翔金泰生物制药股份有限公司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生物制药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重庆市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赛立奇单抗注射液是一种对促炎细胞因子白细胞介素-17A（IL-17A）产生靶向抑制效果的单克隆抗体药物，用于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治疗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银屑病等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。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本产品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在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全人源IL-17A靶点药物领域取得突破，采用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中国仓鼠卵巢细胞（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CHO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生产，可抑制细胞炎症因子，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提升了使用安全性和治疗有效性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32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康柏西普眼用注射液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成都康弘药业集团股份有限公司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生物制药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四川省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康柏西普眼用注射液是一种对人血管内皮生长因子（VEGF）产生靶向抑制作用的眼用注射类药物，用于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治疗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各类黄斑变性水肿、近视性脉络膜新生血管、早产儿视网膜病变等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。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本产品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采用中国仓鼠卵巢细胞（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CHO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生产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，在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人源化抗VEGF融合蛋白眼用注射液领域取得突破，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提升了治疗有效性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33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13价肺炎球菌多糖结合疫苗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云南沃森生物技术股份有限公司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生物制药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云南省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13价肺炎球菌多糖结合疫苗主要成分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是肺炎链球菌13种血清型的荚膜多糖，用于预防肺炎链球菌感染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。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本产品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在多价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肺炎结合疫苗领域取得突破，较同类产品实现了生产效率、抗体持久性的有效提升。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34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肠道病毒71型灭活疫苗（人二倍体细胞）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中国医学科学院医学生物学研究所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生物制药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云南省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肠道病毒71型灭活疫苗的主要成分是灭活EV71病毒（一种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引发人类急性传染病的RNA病毒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），用于预防由EV71病毒感染引起的儿童手足口病等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。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本产品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采用人胚肺二倍体细胞作为细胞基质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进行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生产，具有较好的预防保护率、重症保护率。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35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红没药醇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伊犁川宁生物技术股份有限公司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化妆品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新疆维吾尔自治区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红没药醇是一种倍半萜醇类天然活性成分，具有抗炎、抗氧化、促进伤口愈合和皮肤修复等生理活性，主要用于化妆品等，或用于感染性皮肤病等治疗，传统通过植物提取或化学合成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生产。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本产品通过酿酒酵母工程菌株发酵生产，有效降低生产成本，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提高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生产效率。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36</w:t>
            </w:r>
          </w:p>
        </w:tc>
        <w:tc>
          <w:tcPr>
            <w:tcW w:w="2010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猪瘟病毒E2蛋白重组杆状病毒灭活疫苗</w:t>
            </w:r>
          </w:p>
        </w:tc>
        <w:tc>
          <w:tcPr>
            <w:tcW w:w="2338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天康生物制药有限公司</w:t>
            </w:r>
          </w:p>
        </w:tc>
        <w:tc>
          <w:tcPr>
            <w:tcW w:w="153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生物制药</w:t>
            </w:r>
          </w:p>
        </w:tc>
        <w:tc>
          <w:tcPr>
            <w:tcW w:w="97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新疆生产建设兵团</w:t>
            </w:r>
          </w:p>
        </w:tc>
        <w:tc>
          <w:tcPr>
            <w:tcW w:w="6573" w:type="dxa"/>
            <w:vAlign w:val="center"/>
          </w:tcPr>
          <w:p>
            <w:pPr>
              <w:spacing w:after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猪瘟病毒E2蛋白重组杆状病毒灭活疫苗是一种兽用疫苗，主要成分是灭活E2蛋白（猪瘟病毒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表面的一种主要糖蛋白</w:t>
            </w:r>
            <w:r>
              <w:rPr>
                <w:rFonts w:ascii="Times New Roman" w:hAnsi="Times New Roman" w:eastAsia="仿宋_GB2312" w:cs="Times New Roman"/>
                <w:color w:val="auto"/>
                <w:lang w:eastAsia="zh-CN" w:bidi="ar"/>
              </w:rPr>
              <w:t>），用于预防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猪瘟病毒引起的急性、热性、高度接触性传染病。本产品采用全悬浮无血清工艺，通过High Five细胞系生产，抗原表达量得到较大幅度提升，具有较好的产品安全性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和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使用有效性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生产成本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较</w:t>
            </w:r>
            <w:r>
              <w:rPr>
                <w:rFonts w:ascii="Times New Roman" w:hAnsi="Times New Roman" w:eastAsia="仿宋_GB2312" w:cs="Times New Roman"/>
                <w:color w:val="auto"/>
                <w:lang w:eastAsia="zh-CN"/>
              </w:rPr>
              <w:t>低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。</w:t>
            </w:r>
          </w:p>
        </w:tc>
      </w:tr>
    </w:tbl>
    <w:p>
      <w:pPr>
        <w:widowControl w:val="0"/>
        <w:kinsoku/>
        <w:autoSpaceDE/>
        <w:autoSpaceDN/>
        <w:adjustRightInd/>
        <w:spacing w:line="360" w:lineRule="auto"/>
        <w:jc w:val="both"/>
        <w:textAlignment w:val="auto"/>
        <w:outlineLvl w:val="0"/>
        <w:rPr>
          <w:rFonts w:ascii="Times New Roman" w:hAnsi="Times New Roman" w:eastAsia="仿宋_GB2312" w:cs="Times New Roman"/>
          <w:bCs/>
          <w:snapToGrid/>
          <w:kern w:val="2"/>
          <w:sz w:val="24"/>
          <w:szCs w:val="24"/>
          <w:lang w:eastAsia="zh-CN"/>
        </w:rPr>
      </w:pPr>
      <w:r>
        <w:rPr>
          <w:rFonts w:ascii="Times New Roman" w:hAnsi="Times New Roman" w:eastAsia="仿宋_GB2312" w:cs="Times New Roman"/>
          <w:bCs/>
          <w:snapToGrid/>
          <w:kern w:val="2"/>
          <w:sz w:val="24"/>
          <w:szCs w:val="24"/>
          <w:lang w:eastAsia="zh-CN"/>
        </w:rPr>
        <w:t>*</w:t>
      </w:r>
      <w:r>
        <w:rPr>
          <w:rFonts w:hint="eastAsia" w:ascii="Times New Roman" w:hAnsi="Times New Roman" w:eastAsia="仿宋_GB2312" w:cs="Times New Roman"/>
          <w:bCs/>
          <w:snapToGrid/>
          <w:kern w:val="2"/>
          <w:sz w:val="24"/>
          <w:szCs w:val="24"/>
          <w:lang w:eastAsia="zh-CN"/>
        </w:rPr>
        <w:t>注：与序号</w:t>
      </w:r>
      <w:r>
        <w:rPr>
          <w:rFonts w:ascii="Times New Roman" w:hAnsi="Times New Roman" w:eastAsia="仿宋_GB2312" w:cs="Times New Roman"/>
          <w:bCs/>
          <w:snapToGrid/>
          <w:kern w:val="2"/>
          <w:sz w:val="24"/>
          <w:szCs w:val="24"/>
          <w:lang w:eastAsia="zh-CN"/>
        </w:rPr>
        <w:t>3</w:t>
      </w:r>
      <w:r>
        <w:rPr>
          <w:rFonts w:hint="eastAsia" w:ascii="Times New Roman" w:hAnsi="Times New Roman" w:eastAsia="仿宋_GB2312" w:cs="Times New Roman"/>
          <w:bCs/>
          <w:snapToGrid/>
          <w:kern w:val="2"/>
          <w:sz w:val="24"/>
          <w:szCs w:val="24"/>
          <w:lang w:eastAsia="zh-CN"/>
        </w:rPr>
        <w:t>为同一种产品，但生产企业及生产工艺存在差异。</w:t>
      </w:r>
    </w:p>
    <w:p>
      <w:pPr>
        <w:rPr>
          <w:rFonts w:ascii="Times New Roman" w:hAnsi="Times New Roman"/>
          <w:lang w:eastAsia="zh-CN"/>
        </w:rPr>
      </w:pPr>
    </w:p>
    <w:sectPr>
      <w:footerReference r:id="rId5" w:type="default"/>
      <w:pgSz w:w="16840" w:h="11900" w:orient="landscape"/>
      <w:pgMar w:top="1785" w:right="1245" w:bottom="1785" w:left="1426" w:header="0" w:footer="12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BLyS7wIQIAADc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TrueTypeFonts/>
  <w:saveSubsetFonts/>
  <w:doNotTrackMoves/>
  <w:documentProtection w:enforcement="0"/>
  <w:defaultTabStop w:val="500"/>
  <w:noPunctuationKerning w:val="true"/>
  <w:characterSpacingControl w:val="doNotCompress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41"/>
    <w:rsid w:val="00046190"/>
    <w:rsid w:val="002D4DF3"/>
    <w:rsid w:val="00311041"/>
    <w:rsid w:val="003E0286"/>
    <w:rsid w:val="004A39D1"/>
    <w:rsid w:val="00613C93"/>
    <w:rsid w:val="00955082"/>
    <w:rsid w:val="00A97848"/>
    <w:rsid w:val="00DC3DD3"/>
    <w:rsid w:val="00F268D1"/>
    <w:rsid w:val="00F86914"/>
    <w:rsid w:val="00FC343D"/>
    <w:rsid w:val="04DB05A1"/>
    <w:rsid w:val="05795478"/>
    <w:rsid w:val="05EF2016"/>
    <w:rsid w:val="082D0D5E"/>
    <w:rsid w:val="0AA26B98"/>
    <w:rsid w:val="0C122ABD"/>
    <w:rsid w:val="0C8A4E27"/>
    <w:rsid w:val="0D89608B"/>
    <w:rsid w:val="0F307AB2"/>
    <w:rsid w:val="10427B45"/>
    <w:rsid w:val="10BB1A44"/>
    <w:rsid w:val="12E0534B"/>
    <w:rsid w:val="13112D33"/>
    <w:rsid w:val="14B4218C"/>
    <w:rsid w:val="15262B1B"/>
    <w:rsid w:val="15D476DF"/>
    <w:rsid w:val="17F92A0B"/>
    <w:rsid w:val="1A5213AE"/>
    <w:rsid w:val="1B59213E"/>
    <w:rsid w:val="1CD537D4"/>
    <w:rsid w:val="1D6F3E9B"/>
    <w:rsid w:val="1DCD0BC2"/>
    <w:rsid w:val="1E075E82"/>
    <w:rsid w:val="1ED57A20"/>
    <w:rsid w:val="1F3507CD"/>
    <w:rsid w:val="1FC126A7"/>
    <w:rsid w:val="22203B53"/>
    <w:rsid w:val="2480073C"/>
    <w:rsid w:val="255137BF"/>
    <w:rsid w:val="263A2B6C"/>
    <w:rsid w:val="27EB3421"/>
    <w:rsid w:val="28724840"/>
    <w:rsid w:val="2B487ADA"/>
    <w:rsid w:val="2BB56C71"/>
    <w:rsid w:val="2BDEAD60"/>
    <w:rsid w:val="2BF74781"/>
    <w:rsid w:val="2D145EC5"/>
    <w:rsid w:val="2D6135B9"/>
    <w:rsid w:val="2DB651CE"/>
    <w:rsid w:val="2F971437"/>
    <w:rsid w:val="2FAA610D"/>
    <w:rsid w:val="2FF3270A"/>
    <w:rsid w:val="30B076CF"/>
    <w:rsid w:val="32211138"/>
    <w:rsid w:val="36811BDB"/>
    <w:rsid w:val="37B933CC"/>
    <w:rsid w:val="38C74734"/>
    <w:rsid w:val="3A6B7341"/>
    <w:rsid w:val="3B691AD2"/>
    <w:rsid w:val="3C9C7C85"/>
    <w:rsid w:val="3CC4171D"/>
    <w:rsid w:val="3F1E7077"/>
    <w:rsid w:val="41142614"/>
    <w:rsid w:val="418D4040"/>
    <w:rsid w:val="42CB1658"/>
    <w:rsid w:val="47F7641E"/>
    <w:rsid w:val="480339B6"/>
    <w:rsid w:val="489D725F"/>
    <w:rsid w:val="48A203D1"/>
    <w:rsid w:val="49600C72"/>
    <w:rsid w:val="49D40A5E"/>
    <w:rsid w:val="4ADA656E"/>
    <w:rsid w:val="4B614574"/>
    <w:rsid w:val="4E9128E1"/>
    <w:rsid w:val="528D70E5"/>
    <w:rsid w:val="545D640C"/>
    <w:rsid w:val="57D83144"/>
    <w:rsid w:val="582C1707"/>
    <w:rsid w:val="58977827"/>
    <w:rsid w:val="589C09B9"/>
    <w:rsid w:val="59CC52AE"/>
    <w:rsid w:val="5A364433"/>
    <w:rsid w:val="5A461504"/>
    <w:rsid w:val="5CCA5389"/>
    <w:rsid w:val="5DAB167E"/>
    <w:rsid w:val="5DAF5613"/>
    <w:rsid w:val="5E5D6E1D"/>
    <w:rsid w:val="6450698D"/>
    <w:rsid w:val="645B6926"/>
    <w:rsid w:val="64632CB3"/>
    <w:rsid w:val="64D45B00"/>
    <w:rsid w:val="67211FD8"/>
    <w:rsid w:val="683B3477"/>
    <w:rsid w:val="696574CD"/>
    <w:rsid w:val="6CF724D3"/>
    <w:rsid w:val="6DEA1D4F"/>
    <w:rsid w:val="6F2E3EBD"/>
    <w:rsid w:val="70506413"/>
    <w:rsid w:val="70E77C76"/>
    <w:rsid w:val="733F2EED"/>
    <w:rsid w:val="73700F48"/>
    <w:rsid w:val="73C542D6"/>
    <w:rsid w:val="74A54C22"/>
    <w:rsid w:val="783C589D"/>
    <w:rsid w:val="78CC4E59"/>
    <w:rsid w:val="78DE000C"/>
    <w:rsid w:val="79986240"/>
    <w:rsid w:val="7A265DA3"/>
    <w:rsid w:val="7A967AC9"/>
    <w:rsid w:val="7D71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after="160" w:line="278" w:lineRule="auto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line="600" w:lineRule="exact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  <w:style w:type="character" w:customStyle="1" w:styleId="11">
    <w:name w:val="font112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  <w:vertAlign w:val="superscript"/>
    </w:rPr>
  </w:style>
  <w:style w:type="character" w:customStyle="1" w:styleId="12">
    <w:name w:val="font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121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  <w:vertAlign w:val="subscript"/>
    </w:rPr>
  </w:style>
  <w:style w:type="character" w:customStyle="1" w:styleId="14">
    <w:name w:val="font141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5">
    <w:name w:val="font4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6">
    <w:name w:val="font151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7">
    <w:name w:val="font51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8">
    <w:name w:val="font16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bscript"/>
    </w:rPr>
  </w:style>
  <w:style w:type="character" w:customStyle="1" w:styleId="19">
    <w:name w:val="font10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13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bscript"/>
    </w:rPr>
  </w:style>
  <w:style w:type="character" w:customStyle="1" w:styleId="21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3">
    <w:name w:val="Table Normal"/>
    <w:unhideWhenUsed/>
    <w:qFormat/>
    <w:uiPriority w:val="0"/>
    <w:pPr>
      <w:spacing w:after="160" w:line="278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修订1"/>
    <w:hidden/>
    <w:unhideWhenUsed/>
    <w:qFormat/>
    <w:uiPriority w:val="99"/>
    <w:pPr>
      <w:spacing w:after="160" w:line="278" w:lineRule="auto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25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1023</Words>
  <Characters>5835</Characters>
  <Lines>48</Lines>
  <Paragraphs>13</Paragraphs>
  <TotalTime>0</TotalTime>
  <ScaleCrop>false</ScaleCrop>
  <LinksUpToDate>false</LinksUpToDate>
  <CharactersWithSpaces>6845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2025-07-22T11:11:00Z</dcterms:created>
  <dc:creator>Michael</dc:creator>
  <cp:lastModifiedBy>kylin</cp:lastModifiedBy>
  <cp:lastPrinted>2025-07-30T15:33:00Z</cp:lastPrinted>
  <dcterms:modified xsi:type="dcterms:W3CDTF">2025-07-31T08:45:31Z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2025-05-14T17:32:53Z</vt:filetime>
  </property>
  <property fmtid="{D5CDD505-2E9C-101B-9397-08002B2CF9AE}" pid="4" name="UsrData">
    <vt:lpwstr>68246343eeb4a4001fd4b1fbwl</vt:lpwstr>
  </property>
  <property fmtid="{D5CDD505-2E9C-101B-9397-08002B2CF9AE}" pid="5" name="KSOTemplateDocerSaveRecord">
    <vt:lpwstr>eyJoZGlkIjoiNjU3MTg1MjVlYmIwMmYyYTEwZDI0M2M1YTA3NmUxMjEiLCJ1c2VySWQiOiIzNzk2MjUwNTAifQ==</vt:lpwstr>
  </property>
  <property fmtid="{D5CDD505-2E9C-101B-9397-08002B2CF9AE}" pid="6" name="KSOProductBuildVer">
    <vt:lpwstr>2052-11.8.2.10337</vt:lpwstr>
  </property>
  <property fmtid="{D5CDD505-2E9C-101B-9397-08002B2CF9AE}" pid="7" name="ICV">
    <vt:lpwstr>EC403E72C09E424388D73D08C8CC1554_13</vt:lpwstr>
  </property>
</Properties>
</file>