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烯丙基三甲基氯化铵四次</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JLYT-ZBZX-2020-WZ-094-4</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520895294"/>
      <w:bookmarkStart w:id="1" w:name="_Toc347086849"/>
      <w:bookmarkStart w:id="2" w:name="_Toc347209678"/>
      <w:bookmarkStart w:id="3" w:name="_Toc489354666"/>
      <w:bookmarkStart w:id="4" w:name="_Toc347086983"/>
      <w:bookmarkStart w:id="5" w:name="_Toc17902421"/>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209679"/>
      <w:bookmarkStart w:id="7" w:name="_Toc347086850"/>
      <w:bookmarkStart w:id="8" w:name="_Toc347086984"/>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489354667"/>
      <w:bookmarkStart w:id="10" w:name="_Toc17902422"/>
      <w:bookmarkStart w:id="11" w:name="_Toc520895295"/>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C8"/>
          <w:sz w:val="21"/>
          <w:szCs w:val="21"/>
          <w:lang w:val="en-US" w:eastAsia="zh-CN"/>
        </w:rPr>
        <w:t>280</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需求数量以实际发生为准。项目执行期限为合同签订之日起一年。有效期满一年，或者有效期未满、但框架额度已满，则本次中标结果终止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color w:val="0000FF"/>
          <w:kern w:val="0"/>
          <w:szCs w:val="21"/>
        </w:rPr>
        <w:t>吉林油田兴业油化公司施工现场</w:t>
      </w:r>
      <w:r>
        <w:rPr>
          <w:rFonts w:hint="eastAsia" w:ascii="宋体" w:hAnsi="宋体" w:cs="宋体"/>
          <w:color w:val="0000FF"/>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ascii="宋体" w:hAnsi="宋体" w:cs="宋体"/>
          <w:color w:val="0000FF"/>
          <w:kern w:val="0"/>
          <w:szCs w:val="21"/>
        </w:rPr>
        <w:t>按照需求单位电话通知数量，15个工作日内送达指定地点；</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cs="宋体"/>
          <w:color w:val="000FDC"/>
          <w:szCs w:val="21"/>
          <w:lang w:eastAsia="zh-CN"/>
        </w:rPr>
        <w:t>公路或铁路运输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8"/>
          <w:sz w:val="21"/>
          <w:szCs w:val="21"/>
          <w:lang w:eastAsia="zh-CN"/>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C8"/>
          <w:sz w:val="21"/>
          <w:szCs w:val="21"/>
          <w:lang w:val="en-US" w:eastAsia="zh-CN"/>
        </w:rPr>
        <w:t>1家</w:t>
      </w:r>
      <w:r>
        <w:rPr>
          <w:rFonts w:hint="eastAsia" w:ascii="宋体" w:hAnsi="宋体" w:cs="宋体"/>
          <w:color w:val="0000C8"/>
          <w:sz w:val="21"/>
          <w:szCs w:val="21"/>
          <w:lang w:eastAsia="zh-CN"/>
        </w:rPr>
        <w:t>；</w:t>
      </w:r>
    </w:p>
    <w:p>
      <w:pPr>
        <w:spacing w:line="288" w:lineRule="auto"/>
        <w:ind w:firstLine="420" w:firstLineChars="200"/>
        <w:rPr>
          <w:rFonts w:hint="default" w:ascii="宋体" w:hAnsi="宋体" w:eastAsia="宋体" w:cs="宋体"/>
          <w:color w:val="0000C8"/>
          <w:sz w:val="21"/>
          <w:szCs w:val="21"/>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napToGrid w:val="0"/>
        <w:spacing w:line="288" w:lineRule="auto"/>
        <w:ind w:firstLine="420" w:firstLineChars="200"/>
        <w:rPr>
          <w:rFonts w:hint="eastAsia" w:ascii="宋体" w:hAnsi="宋体" w:cs="宋体"/>
          <w:sz w:val="21"/>
          <w:szCs w:val="21"/>
          <w:lang w:val="en-US" w:eastAsia="zh-CN"/>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ascii="宋体" w:hAnsi="宋体" w:cs="宋体"/>
          <w:sz w:val="21"/>
          <w:szCs w:val="21"/>
          <w:lang w:val="zh-CN"/>
        </w:rPr>
        <w:t>合同签订前，收取中标人履约保证金，收取标准为中标额度（不含税）的3%；最高不超50万。履约保证期限与合同有效期一致；</w:t>
      </w:r>
    </w:p>
    <w:p>
      <w:pPr>
        <w:snapToGrid w:val="0"/>
        <w:spacing w:line="288" w:lineRule="auto"/>
        <w:ind w:firstLine="420" w:firstLineChars="200"/>
        <w:rPr>
          <w:rFonts w:hint="eastAsia" w:ascii="宋体" w:hAnsi="宋体" w:cs="宋体"/>
          <w:sz w:val="21"/>
          <w:szCs w:val="21"/>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sz w:val="21"/>
          <w:szCs w:val="21"/>
        </w:rPr>
        <w:t>服务费：</w:t>
      </w:r>
      <w:r>
        <w:rPr>
          <w:rFonts w:hint="eastAsia" w:ascii="宋体" w:hAnsi="宋体" w:cs="宋体"/>
          <w:sz w:val="21"/>
          <w:szCs w:val="21"/>
          <w:lang w:val="zh-CN"/>
        </w:rPr>
        <w:t>收取中标人采购服务费，收取标准为合同挂账金额（不含税）的2%</w:t>
      </w:r>
      <w:r>
        <w:rPr>
          <w:rFonts w:hint="eastAsia" w:ascii="宋体" w:hAnsi="宋体" w:cs="宋体"/>
          <w:sz w:val="21"/>
          <w:szCs w:val="21"/>
          <w:lang w:eastAsia="zh-CN"/>
        </w:rPr>
        <w:t>；</w:t>
      </w:r>
    </w:p>
    <w:p>
      <w:pPr>
        <w:snapToGrid w:val="0"/>
        <w:spacing w:line="288"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2.3.4考察：</w:t>
      </w:r>
      <w:r>
        <w:rPr>
          <w:rFonts w:hint="eastAsia" w:ascii="宋体" w:hAnsi="宋体" w:cs="宋体"/>
          <w:sz w:val="21"/>
          <w:szCs w:val="21"/>
          <w:lang w:val="zh-CN"/>
        </w:rPr>
        <w:t>招标人保留对拟中标人考察权利，考察内容及程序按中油集团公司供应商考察规定执行。考察通过后下发《中标通知书》，办理市场准入；</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5</w:t>
      </w:r>
      <w:r>
        <w:rPr>
          <w:rFonts w:hint="eastAsia" w:ascii="宋体" w:hAnsi="宋体" w:cs="宋体"/>
          <w:color w:val="0000C8"/>
          <w:sz w:val="21"/>
          <w:szCs w:val="21"/>
          <w:highlight w:val="none"/>
        </w:rPr>
        <w:t>其他：无。</w:t>
      </w:r>
    </w:p>
    <w:p>
      <w:bookmarkStart w:id="12" w:name="_Toc17902423"/>
      <w:bookmarkStart w:id="13" w:name="_Toc347086985"/>
      <w:bookmarkStart w:id="14" w:name="_Toc347086851"/>
      <w:bookmarkStart w:id="15" w:name="_Toc347209680"/>
      <w:bookmarkStart w:id="16" w:name="_Toc520895296"/>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347209681"/>
      <w:bookmarkStart w:id="18" w:name="_Toc347086852"/>
      <w:bookmarkStart w:id="19" w:name="_Toc347086986"/>
      <w:bookmarkStart w:id="20" w:name="_Toc520895297"/>
      <w:r>
        <w:rPr>
          <w:rFonts w:hint="eastAsia" w:ascii="宋体" w:hAnsi="宋体" w:cs="宋体"/>
          <w:b/>
          <w:bCs/>
          <w:sz w:val="21"/>
          <w:szCs w:val="21"/>
        </w:rPr>
        <w:t>3.1商务资格条件</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3.1.1境内注册的独立法人，经营范围满足本招标项目要求，注册资金不低于200万元人民币的制造商</w:t>
      </w:r>
      <w:r>
        <w:rPr>
          <w:rFonts w:hint="eastAsia" w:ascii="宋体" w:hAnsi="宋体" w:cs="宋体"/>
          <w:color w:val="0000C8"/>
          <w:sz w:val="21"/>
          <w:szCs w:val="21"/>
          <w:lang w:eastAsia="zh-CN"/>
        </w:rPr>
        <w:t>或代理商</w:t>
      </w:r>
      <w:r>
        <w:rPr>
          <w:rFonts w:hint="eastAsia" w:ascii="宋体" w:hAnsi="宋体" w:cs="宋体"/>
          <w:color w:val="0000C8"/>
          <w:sz w:val="21"/>
          <w:szCs w:val="21"/>
        </w:rPr>
        <w:t>（投标人须提供营业执照和国家企业信用信息公示系统经营范围截屏；投标人营业执照登记信息和经营范围须与“国家企业信用信息公示系统”信息一致，评审现场网络查询复核）；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3.1.2提供会计师事务所出具标准的上年度（2019年）无保留意见审计报告（附资产负债表），且资产负债率低于100%，当年新成立公司和高等院校，不予提供相关财务信息和审计报告。</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3.1.3</w:t>
      </w:r>
      <w:r>
        <w:rPr>
          <w:rFonts w:hint="eastAsia" w:ascii="宋体" w:hAnsi="宋体" w:cs="宋体"/>
          <w:color w:val="0000C8"/>
          <w:sz w:val="21"/>
          <w:szCs w:val="21"/>
          <w:lang w:val="zh-CN"/>
        </w:rPr>
        <w:t>代理商投标提供代理产品生产企业《代理产品授权委托书》。（注：同一品牌的制造商只能授权一家代理商投标，且同一品牌制造商和代理商不能同时参与本项目投标，否则同一品牌的投标人均否决投标）。</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3.1.4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5</w:t>
      </w:r>
      <w:r>
        <w:rPr>
          <w:rFonts w:hint="eastAsia" w:ascii="宋体" w:hAnsi="宋体" w:cs="宋体"/>
          <w:color w:val="0000C8"/>
          <w:sz w:val="21"/>
          <w:szCs w:val="21"/>
        </w:rPr>
        <w:t>投标人在“中国执行信息公开网”(http://zxgk.court.gov.cn) 未被列为“失信被执行人”。（投标人须提供“中国执行信息公开网”关于“失信被执行人”的查询截屏，评审现场网络查询复核）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6</w:t>
      </w:r>
      <w:r>
        <w:rPr>
          <w:rFonts w:hint="eastAsia" w:ascii="宋体" w:hAnsi="宋体" w:cs="宋体"/>
          <w:color w:val="0000C8"/>
          <w:sz w:val="21"/>
          <w:szCs w:val="21"/>
        </w:rPr>
        <w:t>本次招标不接受联合体投标，不允许分包；</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7</w:t>
      </w:r>
      <w:r>
        <w:rPr>
          <w:rFonts w:hint="eastAsia" w:ascii="宋体" w:hAnsi="宋体" w:cs="宋体"/>
          <w:color w:val="0000C8"/>
          <w:sz w:val="21"/>
          <w:szCs w:val="21"/>
        </w:rPr>
        <w:t>没有处于被责令停业，投标资格被取消，财产被接管、冻结，破产状态；（承诺）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8</w:t>
      </w:r>
      <w:r>
        <w:rPr>
          <w:rFonts w:hint="eastAsia" w:ascii="宋体" w:hAnsi="宋体" w:cs="宋体"/>
          <w:color w:val="0000C8"/>
          <w:sz w:val="21"/>
          <w:szCs w:val="21"/>
        </w:rPr>
        <w:t>单位负责人为同一人或者控股、管理关系的不同单位，不得参加同一标段投标或者未划分标段的同一招标项目投标；（承诺）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9</w:t>
      </w:r>
      <w:r>
        <w:rPr>
          <w:rFonts w:hint="eastAsia" w:ascii="宋体" w:hAnsi="宋体" w:cs="宋体"/>
          <w:color w:val="0000C8"/>
          <w:sz w:val="21"/>
          <w:szCs w:val="21"/>
        </w:rPr>
        <w:t>近三年（2017年1月1日至投标截止时间），在国家、行业、集团公司以及地方政府质量监督检查中无重大质量问题及事故；（承诺）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0</w:t>
      </w:r>
      <w:r>
        <w:rPr>
          <w:rFonts w:hint="eastAsia" w:ascii="宋体" w:hAnsi="宋体" w:cs="宋体"/>
          <w:color w:val="0000C8"/>
          <w:sz w:val="21"/>
          <w:szCs w:val="21"/>
        </w:rPr>
        <w:t>与集团公司及所属企业无重大法律纠纷；（承诺）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1</w:t>
      </w:r>
      <w:r>
        <w:rPr>
          <w:rFonts w:hint="eastAsia" w:ascii="宋体" w:hAnsi="宋体" w:cs="宋体"/>
          <w:color w:val="0000C8"/>
          <w:sz w:val="21"/>
          <w:szCs w:val="21"/>
        </w:rPr>
        <w:t>投标人有良好的商业信誉和健全的财务会计制度；（承诺）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2</w:t>
      </w:r>
      <w:r>
        <w:rPr>
          <w:rFonts w:hint="eastAsia" w:ascii="宋体" w:hAnsi="宋体" w:cs="宋体"/>
          <w:color w:val="0000C8"/>
          <w:sz w:val="21"/>
          <w:szCs w:val="21"/>
        </w:rPr>
        <w:t>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color w:val="0000C8"/>
          <w:sz w:val="21"/>
          <w:szCs w:val="21"/>
          <w:lang w:val="en-US" w:eastAsia="zh-CN"/>
        </w:rPr>
      </w:pPr>
      <w:bookmarkStart w:id="21" w:name="_Toc17902424"/>
      <w:r>
        <w:rPr>
          <w:rFonts w:hint="eastAsia" w:ascii="宋体" w:hAnsi="宋体" w:cs="宋体"/>
          <w:color w:val="0000C8"/>
          <w:sz w:val="21"/>
          <w:szCs w:val="21"/>
          <w:lang w:val="en-US" w:eastAsia="zh-CN"/>
        </w:rPr>
        <w:t>3.2.1承诺所提供的产品必须附带有合格的《安全技术说明书》和《安全标签》，并《安全技术说明书》和《安全标签》与所提供的产品性质一致。《安全技术说明书》与《安全标签》的编制应严格按照《GB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spacing w:line="288" w:lineRule="auto"/>
        <w:ind w:firstLine="420" w:firstLineChars="200"/>
        <w:rPr>
          <w:rFonts w:hint="default" w:ascii="宋体" w:hAnsi="宋体" w:cs="宋体"/>
          <w:color w:val="0000C8"/>
          <w:sz w:val="21"/>
          <w:szCs w:val="21"/>
          <w:lang w:val="en-US" w:eastAsia="zh-CN"/>
        </w:rPr>
      </w:pPr>
      <w:r>
        <w:rPr>
          <w:rFonts w:hint="eastAsia" w:ascii="宋体" w:hAnsi="宋体" w:cs="宋体"/>
          <w:color w:val="0000C8"/>
          <w:sz w:val="21"/>
          <w:szCs w:val="21"/>
          <w:lang w:val="en-US" w:eastAsia="zh-CN"/>
        </w:rPr>
        <w:t>3.2.2</w:t>
      </w:r>
      <w:r>
        <w:rPr>
          <w:rFonts w:hint="eastAsia" w:ascii="宋体" w:hAnsi="宋体" w:cs="宋体"/>
          <w:color w:val="0000C8"/>
          <w:sz w:val="21"/>
          <w:szCs w:val="21"/>
        </w:rPr>
        <w:t xml:space="preserve"> 投标人必须全部满足技术要求*条款，同时对非*条款作出承诺。</w:t>
      </w:r>
    </w:p>
    <w:p>
      <w:pPr>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w:t>
      </w:r>
      <w:r>
        <w:rPr>
          <w:rFonts w:hint="eastAsia" w:ascii="宋体" w:hAnsi="宋体" w:cs="宋体"/>
          <w:sz w:val="21"/>
          <w:szCs w:val="21"/>
          <w:highlight w:val="none"/>
        </w:rPr>
        <w:t>北京时间</w:t>
      </w:r>
      <w:r>
        <w:rPr>
          <w:rFonts w:hint="eastAsia" w:ascii="宋体" w:hAnsi="宋体" w:cs="宋体"/>
          <w:color w:val="0000C8"/>
          <w:sz w:val="21"/>
          <w:szCs w:val="21"/>
          <w:highlight w:val="none"/>
        </w:rPr>
        <w:t xml:space="preserve">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日至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日</w:t>
      </w:r>
      <w:r>
        <w:rPr>
          <w:rFonts w:hint="eastAsia" w:ascii="宋体" w:hAnsi="宋体" w:cs="宋体"/>
          <w:sz w:val="21"/>
          <w:szCs w:val="21"/>
          <w:highlight w:val="none"/>
        </w:rPr>
        <w:t>内</w:t>
      </w:r>
      <w:r>
        <w:rPr>
          <w:rFonts w:hint="eastAsia" w:ascii="宋体" w:hAnsi="宋体" w:cs="宋体"/>
          <w:sz w:val="21"/>
          <w:szCs w:val="21"/>
        </w:rPr>
        <w:t xml:space="preserve">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17902425"/>
      <w:bookmarkStart w:id="23" w:name="_Toc520895298"/>
      <w:bookmarkStart w:id="24" w:name="_Toc491332587"/>
      <w:bookmarkStart w:id="25" w:name="_Toc310252796"/>
      <w:bookmarkStart w:id="26" w:name="_Toc31025259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highlight w:val="none"/>
        </w:rPr>
        <w:t>20</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年</w:t>
      </w:r>
      <w:r>
        <w:rPr>
          <w:rFonts w:hint="eastAsia" w:ascii="宋体" w:hAnsi="宋体" w:cs="宋体"/>
          <w:color w:val="0000C8"/>
          <w:kern w:val="2"/>
          <w:sz w:val="21"/>
          <w:szCs w:val="21"/>
          <w:highlight w:val="none"/>
          <w:lang w:val="en-US" w:eastAsia="zh-CN"/>
        </w:rPr>
        <w:t>9</w:t>
      </w:r>
      <w:r>
        <w:rPr>
          <w:rFonts w:hint="eastAsia" w:ascii="宋体" w:hAnsi="宋体" w:cs="宋体"/>
          <w:color w:val="0000C8"/>
          <w:kern w:val="2"/>
          <w:sz w:val="21"/>
          <w:szCs w:val="21"/>
          <w:highlight w:val="none"/>
        </w:rPr>
        <w:t>月</w:t>
      </w:r>
      <w:r>
        <w:rPr>
          <w:rFonts w:hint="eastAsia" w:ascii="宋体" w:hAnsi="宋体" w:cs="宋体"/>
          <w:color w:val="0000C8"/>
          <w:kern w:val="2"/>
          <w:sz w:val="21"/>
          <w:szCs w:val="21"/>
          <w:highlight w:val="none"/>
          <w:lang w:val="en-US" w:eastAsia="zh-CN"/>
        </w:rPr>
        <w:t>25</w:t>
      </w:r>
      <w:r>
        <w:rPr>
          <w:rFonts w:hint="eastAsia" w:ascii="宋体" w:hAnsi="宋体" w:cs="宋体"/>
          <w:color w:val="0000C8"/>
          <w:kern w:val="2"/>
          <w:sz w:val="21"/>
          <w:szCs w:val="21"/>
          <w:highlight w:val="none"/>
        </w:rPr>
        <w:t>日</w:t>
      </w:r>
      <w:r>
        <w:rPr>
          <w:rFonts w:hint="eastAsia" w:ascii="宋体" w:hAnsi="宋体" w:cs="宋体"/>
          <w:color w:val="0000C8"/>
          <w:kern w:val="2"/>
          <w:sz w:val="21"/>
          <w:szCs w:val="21"/>
          <w:highlight w:val="none"/>
          <w:lang w:val="en-US" w:eastAsia="zh-CN"/>
        </w:rPr>
        <w:t>08</w:t>
      </w:r>
      <w:r>
        <w:rPr>
          <w:rFonts w:hint="eastAsia" w:ascii="宋体" w:hAnsi="宋体" w:cs="宋体"/>
          <w:color w:val="0000C8"/>
          <w:kern w:val="2"/>
          <w:sz w:val="21"/>
          <w:szCs w:val="21"/>
          <w:highlight w:val="none"/>
        </w:rPr>
        <w:t>时</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17902426"/>
      <w:bookmarkStart w:id="28" w:name="_Toc520895299"/>
      <w:bookmarkStart w:id="29" w:name="_Toc491332588"/>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w:t>
      </w:r>
      <w:r>
        <w:rPr>
          <w:rFonts w:hint="eastAsia" w:ascii="宋体" w:hAnsi="宋体" w:cs="宋体"/>
          <w:bCs/>
          <w:color w:val="0000C8"/>
          <w:kern w:val="2"/>
          <w:sz w:val="21"/>
          <w:szCs w:val="21"/>
          <w:lang w:val="zh-CN" w:eastAsia="zh-CN"/>
        </w:rPr>
        <w:t>王</w:t>
      </w:r>
      <w:r>
        <w:rPr>
          <w:rFonts w:hint="eastAsia" w:ascii="宋体" w:hAnsi="宋体" w:cs="宋体"/>
          <w:bCs/>
          <w:color w:val="0000C8"/>
          <w:kern w:val="2"/>
          <w:sz w:val="21"/>
          <w:szCs w:val="21"/>
          <w:lang w:val="zh-CN"/>
        </w:rPr>
        <w:t>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21056</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w:t>
      </w:r>
      <w:r>
        <w:rPr>
          <w:rFonts w:hint="eastAsia" w:ascii="宋体" w:hAnsi="宋体" w:cs="宋体"/>
          <w:bCs/>
          <w:color w:val="0000FF"/>
          <w:kern w:val="2"/>
          <w:sz w:val="21"/>
          <w:szCs w:val="21"/>
          <w:lang w:val="zh-CN" w:eastAsia="zh-CN"/>
        </w:rPr>
        <w:t>高</w:t>
      </w:r>
      <w:r>
        <w:rPr>
          <w:rFonts w:hint="eastAsia" w:ascii="宋体" w:hAnsi="宋体" w:cs="宋体"/>
          <w:bCs/>
          <w:color w:val="0000C8"/>
          <w:kern w:val="2"/>
          <w:sz w:val="21"/>
          <w:szCs w:val="21"/>
          <w:lang w:val="zh-CN"/>
        </w:rPr>
        <w:t>女士</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78513</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highlight w:val="none"/>
        </w:rPr>
      </w:pPr>
      <w:r>
        <w:rPr>
          <w:rFonts w:hint="eastAsia" w:ascii="宋体" w:hAnsi="宋体" w:cs="宋体"/>
          <w:sz w:val="21"/>
          <w:szCs w:val="21"/>
          <w:highlight w:val="none"/>
        </w:rPr>
        <w:t xml:space="preserve">  </w:t>
      </w:r>
      <w:r>
        <w:rPr>
          <w:rFonts w:hint="eastAsia" w:ascii="宋体" w:hAnsi="宋体" w:cs="宋体"/>
          <w:color w:val="0000CC"/>
          <w:sz w:val="21"/>
          <w:szCs w:val="21"/>
          <w:highlight w:val="none"/>
        </w:rPr>
        <w:t xml:space="preserve"> </w:t>
      </w:r>
      <w:r>
        <w:rPr>
          <w:rFonts w:hint="eastAsia" w:ascii="宋体" w:hAnsi="宋体" w:cs="宋体"/>
          <w:color w:val="0000C8"/>
          <w:sz w:val="21"/>
          <w:szCs w:val="21"/>
          <w:highlight w:val="none"/>
        </w:rPr>
        <w:t>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4</w:t>
      </w:r>
      <w:bookmarkStart w:id="38" w:name="_GoBack"/>
      <w:bookmarkEnd w:id="38"/>
      <w:r>
        <w:rPr>
          <w:rFonts w:hint="eastAsia" w:ascii="宋体" w:hAnsi="宋体" w:cs="宋体"/>
          <w:color w:val="0000C8"/>
          <w:sz w:val="21"/>
          <w:szCs w:val="21"/>
          <w:highlight w:val="none"/>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1744"/>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5"/>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ascii="宋体" w:hAnsi="宋体" w:cs="宋体"/>
                <w:color w:val="000000"/>
                <w:szCs w:val="21"/>
              </w:rPr>
            </w:pPr>
            <w:r>
              <w:rPr>
                <w:rFonts w:hint="eastAsia"/>
                <w:sz w:val="20"/>
                <w:szCs w:val="20"/>
              </w:rPr>
              <w:t>1</w:t>
            </w:r>
          </w:p>
        </w:tc>
        <w:tc>
          <w:tcPr>
            <w:tcW w:w="1667" w:type="dxa"/>
            <w:vAlign w:val="center"/>
          </w:tcPr>
          <w:p>
            <w:pPr>
              <w:keepNext w:val="0"/>
              <w:keepLines w:val="0"/>
              <w:widowControl/>
              <w:suppressLineNumbers w:val="0"/>
              <w:jc w:val="lef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烯丙基三甲基氯化铵</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ascii="宋体" w:hAnsi="宋体" w:eastAsia="宋体" w:cs="宋体"/>
                <w:i w:val="0"/>
                <w:color w:val="000000"/>
                <w:kern w:val="0"/>
                <w:sz w:val="20"/>
                <w:szCs w:val="20"/>
                <w:u w:val="none"/>
                <w:lang w:val="en-US" w:eastAsia="zh-CN" w:bidi="ar"/>
              </w:rPr>
              <w:t>吨</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u w:val="none"/>
                <w:lang w:val="en-US" w:eastAsia="zh-CN" w:bidi="ar"/>
              </w:rPr>
              <w:t xml:space="preserve">1 </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hint="eastAsia" w:ascii="宋体" w:hAnsi="宋体" w:eastAsia="宋体" w:cs="宋体"/>
                <w:color w:val="000000"/>
                <w:szCs w:val="21"/>
                <w:lang w:eastAsia="zh-CN"/>
              </w:rPr>
            </w:pPr>
            <w:r>
              <w:rPr>
                <w:rFonts w:hint="eastAsia" w:ascii="宋体" w:hAnsi="宋体" w:cs="宋体"/>
                <w:kern w:val="0"/>
                <w:szCs w:val="21"/>
              </w:rPr>
              <w:t>按照需求单位电话通知数量，15个工作日内送达指定地点</w:t>
            </w:r>
            <w:r>
              <w:rPr>
                <w:rFonts w:hint="eastAsia" w:ascii="宋体" w:hAnsi="宋体" w:cs="宋体"/>
                <w:kern w:val="0"/>
                <w:szCs w:val="21"/>
                <w:lang w:eastAsia="zh-CN"/>
              </w:rPr>
              <w:t>。</w:t>
            </w:r>
          </w:p>
        </w:tc>
        <w:tc>
          <w:tcPr>
            <w:tcW w:w="1425" w:type="dxa"/>
            <w:vAlign w:val="center"/>
          </w:tcPr>
          <w:p>
            <w:pPr>
              <w:widowControl/>
              <w:jc w:val="center"/>
              <w:rPr>
                <w:rFonts w:ascii="宋体" w:hAnsi="宋体" w:cs="宋体"/>
                <w:color w:val="000000"/>
                <w:szCs w:val="21"/>
              </w:rPr>
            </w:pPr>
            <w:r>
              <w:rPr>
                <w:rFonts w:hint="eastAsia" w:ascii="宋体" w:hAnsi="宋体" w:cs="宋体"/>
                <w:kern w:val="0"/>
                <w:szCs w:val="21"/>
              </w:rPr>
              <w:t>吉林油田兴业油化公司施工现场</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eastAsia="宋体"/>
          <w:lang w:eastAsia="zh-CN"/>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104"/>
      <w:r>
        <w:rPr>
          <w:rFonts w:hint="eastAsia" w:ascii="黑体" w:hAnsi="宋体" w:eastAsia="黑体"/>
          <w:bCs/>
          <w:kern w:val="2"/>
          <w:sz w:val="28"/>
          <w:szCs w:val="28"/>
        </w:rPr>
        <w:t>附件2：技术要求</w:t>
      </w:r>
      <w:bookmarkEnd w:id="33"/>
    </w:p>
    <w:p>
      <w:pPr>
        <w:pStyle w:val="3"/>
        <w:spacing w:before="156" w:beforeLines="50" w:beforeAutospacing="0" w:after="156" w:afterLines="50" w:afterAutospacing="0"/>
        <w:jc w:val="center"/>
        <w:rPr>
          <w:rFonts w:hint="eastAsia" w:ascii="黑体" w:eastAsia="黑体"/>
          <w:color w:val="auto"/>
          <w:sz w:val="32"/>
          <w:szCs w:val="32"/>
        </w:rPr>
      </w:pPr>
      <w:r>
        <w:rPr>
          <w:rFonts w:hint="eastAsia"/>
          <w:bCs/>
          <w:color w:val="000000"/>
          <w:sz w:val="32"/>
          <w:szCs w:val="32"/>
          <w:lang w:eastAsia="zh-CN"/>
        </w:rPr>
        <w:t>烯丙基三甲基氯化铵</w:t>
      </w:r>
      <w:r>
        <w:rPr>
          <w:rFonts w:hint="eastAsia" w:hAnsi="宋体"/>
          <w:bCs/>
          <w:color w:val="000000"/>
          <w:sz w:val="32"/>
          <w:szCs w:val="32"/>
          <w:lang w:eastAsia="zh-CN"/>
        </w:rPr>
        <w:t>采购</w:t>
      </w:r>
      <w:r>
        <w:rPr>
          <w:rFonts w:hint="eastAsia" w:hAnsi="宋体"/>
          <w:bCs/>
          <w:color w:val="000000"/>
          <w:sz w:val="32"/>
          <w:szCs w:val="32"/>
        </w:rPr>
        <w:t>招标技术规范</w:t>
      </w:r>
    </w:p>
    <w:p>
      <w:pPr>
        <w:pStyle w:val="3"/>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 xml:space="preserve">  </w:t>
      </w:r>
      <w:r>
        <w:rPr>
          <w:rFonts w:hint="eastAsia" w:ascii="宋体" w:hAnsi="宋体" w:eastAsia="宋体" w:cs="宋体"/>
          <w:bCs/>
          <w:sz w:val="21"/>
          <w:szCs w:val="21"/>
        </w:rPr>
        <w:t>范围</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  本标准适用于烯丙基三甲基氯化铵的物资采购项目招标活动。</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  本标准规定了烯丙基三甲基氯化铵的基本技术要求。当本标准与国家法律、行政法规的规定相抵触时，应按国家法律、行政法规的规定执行。</w:t>
      </w:r>
    </w:p>
    <w:p>
      <w:pPr>
        <w:pStyle w:val="3"/>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2  规范性引用文件</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下列文件对于本文件的应用是必不可少的。凡是注日期的引用文件，仅注日期的版本适用于本文件。凡是不注日期的引用文件，其最新版本（包括所有的修改单）适用于本文件。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 15258-2009     化学品安全标签编写规定</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16483-2008   化学品安全技术说明书 内容和项目顺序的要求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17519-2013    化学品安全技术说明书编写指南</w:t>
      </w:r>
    </w:p>
    <w:p>
      <w:pPr>
        <w:pStyle w:val="3"/>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3  资质要求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见招标公告</w:t>
      </w:r>
    </w:p>
    <w:p>
      <w:pPr>
        <w:pStyle w:val="3"/>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4技术要求</w:t>
      </w:r>
    </w:p>
    <w:p>
      <w:pPr>
        <w:pStyle w:val="3"/>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烯丙基三甲基氯化铵在泥浆中能吸附在粘土表面，中和了粘土的部分负电荷，从而抑制了粘土膨胀，起到了良好的稳定作用。</w:t>
      </w:r>
    </w:p>
    <w:p>
      <w:pPr>
        <w:pStyle w:val="3"/>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rPr>
        <w:t>4.1</w:t>
      </w:r>
      <w:r>
        <w:rPr>
          <w:rFonts w:hint="eastAsia" w:ascii="宋体" w:hAnsi="宋体" w:eastAsia="宋体" w:cs="宋体"/>
          <w:sz w:val="21"/>
          <w:szCs w:val="21"/>
        </w:rPr>
        <w:t>技术指标要求</w:t>
      </w:r>
    </w:p>
    <w:p>
      <w:pPr>
        <w:keepNext w:val="0"/>
        <w:keepLines w:val="0"/>
        <w:pageBreakBefore w:val="0"/>
        <w:widowControl/>
        <w:kinsoku/>
        <w:wordWrap/>
        <w:overflowPunct/>
        <w:topLinePunct w:val="0"/>
        <w:autoSpaceDE/>
        <w:autoSpaceDN/>
        <w:bidi w:val="0"/>
        <w:adjustRightInd/>
        <w:snapToGrid/>
        <w:spacing w:line="288" w:lineRule="auto"/>
        <w:ind w:firstLine="422" w:firstLineChars="200"/>
        <w:jc w:val="center"/>
        <w:textAlignment w:val="auto"/>
        <w:outlineLvl w:val="9"/>
        <w:rPr>
          <w:rFonts w:hint="eastAsia" w:ascii="宋体" w:hAnsi="宋体" w:eastAsia="宋体" w:cs="宋体"/>
          <w:b/>
          <w:bCs/>
          <w:sz w:val="21"/>
          <w:szCs w:val="21"/>
        </w:rPr>
      </w:pPr>
      <w:bookmarkStart w:id="34" w:name="_Toc410741741"/>
      <w:r>
        <w:rPr>
          <w:rFonts w:hint="eastAsia" w:ascii="宋体" w:hAnsi="宋体" w:eastAsia="宋体" w:cs="宋体"/>
          <w:b/>
          <w:bCs/>
          <w:sz w:val="21"/>
          <w:szCs w:val="21"/>
        </w:rPr>
        <w:t>表1 烯丙基三甲基氯化铵技术要求</w:t>
      </w:r>
    </w:p>
    <w:bookmarkEnd w:id="34"/>
    <w:tbl>
      <w:tblPr>
        <w:tblStyle w:val="5"/>
        <w:tblpPr w:leftFromText="180" w:rightFromText="180" w:vertAnchor="text" w:horzAnchor="page" w:tblpXSpec="center" w:tblpY="291"/>
        <w:tblOverlap w:val="never"/>
        <w:tblW w:w="8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448"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2" w:firstLineChars="20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项  目</w:t>
            </w:r>
          </w:p>
        </w:tc>
        <w:tc>
          <w:tcPr>
            <w:tcW w:w="4172"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2" w:firstLineChars="20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含量，％</w:t>
            </w:r>
          </w:p>
        </w:tc>
        <w:tc>
          <w:tcPr>
            <w:tcW w:w="4172"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&gt;75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正电荷密度，mmol/g</w:t>
            </w:r>
          </w:p>
        </w:tc>
        <w:tc>
          <w:tcPr>
            <w:tcW w:w="4172"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1%蒸馏水溶液防膨率，％</w:t>
            </w:r>
          </w:p>
        </w:tc>
        <w:tc>
          <w:tcPr>
            <w:tcW w:w="4172" w:type="dxa"/>
            <w:vAlign w:val="center"/>
          </w:tcPr>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&gt;80</w:t>
            </w:r>
          </w:p>
        </w:tc>
      </w:tr>
    </w:tbl>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4.2检测方法</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4.3仪器、设备</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a)电子天平：精度0.001g；</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b)离心机：转速 0-3000r/min。</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4.4 试剂与材料</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a)0.lmol/L的四苯硼钠标准溶液；</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b)甲醛；</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c) 0.1%的达旦黄指示剂；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d)0.1mol/L十六烷基三甲基溴化铵溶液；</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e) 甲苯胺蓝指示剂；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f)聚乙烯硫酸钾标准溶液；</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 膨润土： 一级膨润土粉（过试验筛，通过SSWO. 150/0. 104,但不通过 SSWO. 075/0. 052）,放入电热恒温干燥箱，于105±1℃下恒温6h,置于干燥器中冷却至 室温，存广口瓶中备用；</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h)干燥煤油：经无水氯化钙干燥。</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4.4 烯丙基三甲基氯化铵含量测试方法</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精确称取待测的烯丙基三甲基氯化铵0. 5-lg（精确至0. 0001g）,置于100ml容量瓶 中用蒸馏水稀释至刻度，准确量取5mL待测的烯丙基三甲基氯化铵溶液于250mL锥形瓶 中，加入</w:t>
      </w: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1</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,（—般取10mL）0.lmol/L的四苯硼钠标准溶液（用K+重量法标定），再加入5mL 的甲醛、20%Na0H溶液（质量分数）0. 2mL和5滴0. 1% （质量分数）的达旦黄指示剂溶液，用0.lmol/L十六烷基三甲基溴化铵溶液滴定至V2，按照下式计算烯丙基三甲基氯 化铵质量分数：</w:t>
      </w:r>
    </w:p>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m:oMathPara>
        <m:oMath>
          <m:r>
            <m:rPr>
              <m:sty m:val="p"/>
            </m:rPr>
            <w:rPr>
              <w:rFonts w:hint="default" w:ascii="Cambria Math" w:hAnsi="Cambria Math" w:cs="Times New Roman"/>
              <w:color w:val="auto"/>
              <w:kern w:val="2"/>
              <w:sz w:val="21"/>
              <w:szCs w:val="24"/>
              <w:lang w:val="en-US"/>
            </w:rPr>
            <m:t>W=</m:t>
          </m:r>
          <m:f>
            <m:fPr>
              <m:ctrlPr>
                <w:rPr>
                  <w:rFonts w:hint="default" w:ascii="Cambria Math" w:hAnsi="Cambria Math" w:cs="Times New Roman"/>
                  <w:color w:val="auto"/>
                  <w:kern w:val="2"/>
                  <w:sz w:val="21"/>
                  <w:szCs w:val="24"/>
                  <w:lang w:val="en-US"/>
                </w:rPr>
              </m:ctrlPr>
            </m:fPr>
            <m:num>
              <m:r>
                <m:rPr>
                  <m:sty m:val="p"/>
                </m:rPr>
                <w:rPr>
                  <w:rFonts w:hint="default" w:ascii="Cambria Math" w:hAnsi="Cambria Math" w:cs="Times New Roman"/>
                  <w:color w:val="auto"/>
                  <w:kern w:val="2"/>
                  <w:sz w:val="21"/>
                  <w:szCs w:val="24"/>
                  <w:lang w:val="en-US"/>
                </w:rPr>
                <m:t>2×(</m:t>
              </m:r>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1</m:t>
                  </m:r>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C</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1</m:t>
                      </m:r>
                      <m:ctrlPr>
                        <w:rPr>
                          <w:rFonts w:hint="default" w:ascii="Cambria Math" w:hAnsi="Cambria Math" w:cs="Times New Roman"/>
                          <w:color w:val="auto"/>
                          <w:kern w:val="2"/>
                          <w:sz w:val="21"/>
                          <w:szCs w:val="24"/>
                          <w:lang w:val="en-US"/>
                        </w:rPr>
                      </m:ctrlPr>
                    </m:sub>
                  </m:sSub>
                  <m:ctrlPr>
                    <w:rPr>
                      <w:rFonts w:hint="default" w:ascii="Cambria Math" w:hAnsi="Cambria Math" w:cs="Times New Roman"/>
                      <w:color w:val="auto"/>
                      <w:kern w:val="2"/>
                      <w:sz w:val="21"/>
                      <w:szCs w:val="24"/>
                      <w:lang w:val="en-US"/>
                    </w:rPr>
                  </m:ctrlPr>
                </m:sub>
              </m:sSub>
              <m:r>
                <m:rPr>
                  <m:sty m:val="p"/>
                </m:rPr>
                <w:rPr>
                  <w:rFonts w:hint="default" w:ascii="Cambria Math" w:hAnsi="Cambria Math" w:cs="Times New Roman"/>
                  <w:color w:val="auto"/>
                  <w:kern w:val="2"/>
                  <w:sz w:val="21"/>
                  <w:szCs w:val="24"/>
                  <w:lang w:val="en-US"/>
                </w:rPr>
                <m:t>-</m:t>
              </m:r>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2</m:t>
                  </m:r>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C</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2)</m:t>
                      </m:r>
                      <m:ctrlPr>
                        <w:rPr>
                          <w:rFonts w:hint="default" w:ascii="Cambria Math" w:hAnsi="Cambria Math" w:cs="Times New Roman"/>
                          <w:color w:val="auto"/>
                          <w:kern w:val="2"/>
                          <w:sz w:val="21"/>
                          <w:szCs w:val="24"/>
                          <w:lang w:val="en-US"/>
                        </w:rPr>
                      </m:ctrlPr>
                    </m:sub>
                  </m:sSub>
                  <m:ctrlPr>
                    <w:rPr>
                      <w:rFonts w:hint="default" w:ascii="Cambria Math" w:hAnsi="Cambria Math" w:cs="Times New Roman"/>
                      <w:color w:val="auto"/>
                      <w:kern w:val="2"/>
                      <w:sz w:val="21"/>
                      <w:szCs w:val="24"/>
                      <w:lang w:val="en-US"/>
                    </w:rPr>
                  </m:ctrlPr>
                </m:sub>
              </m:sSub>
              <m:ctrlPr>
                <w:rPr>
                  <w:rFonts w:hint="default" w:ascii="Cambria Math" w:hAnsi="Cambria Math" w:cs="Times New Roman"/>
                  <w:color w:val="auto"/>
                  <w:kern w:val="2"/>
                  <w:sz w:val="21"/>
                  <w:szCs w:val="24"/>
                  <w:lang w:val="en-US"/>
                </w:rPr>
              </m:ctrlPr>
            </m:num>
            <m:den>
              <m:r>
                <m:rPr>
                  <m:sty m:val="p"/>
                </m:rPr>
                <w:rPr>
                  <w:rFonts w:hint="default" w:ascii="Cambria Math" w:hAnsi="Cambria Math" w:cs="Times New Roman"/>
                  <w:color w:val="auto"/>
                  <w:kern w:val="2"/>
                  <w:sz w:val="21"/>
                  <w:szCs w:val="24"/>
                  <w:lang w:val="en-US"/>
                </w:rPr>
                <m:t>W</m:t>
              </m:r>
              <m:ctrlPr>
                <w:rPr>
                  <w:rFonts w:hint="default" w:ascii="Cambria Math" w:hAnsi="Cambria Math" w:cs="Times New Roman"/>
                  <w:color w:val="auto"/>
                  <w:kern w:val="2"/>
                  <w:sz w:val="21"/>
                  <w:szCs w:val="24"/>
                  <w:lang w:val="en-US"/>
                </w:rPr>
              </m:ctrlPr>
            </m:den>
          </m:f>
          <m:r>
            <m:rPr>
              <m:sty m:val="p"/>
            </m:rPr>
            <w:rPr>
              <w:rFonts w:hint="default" w:ascii="Cambria Math" w:hAnsi="Cambria Math" w:cs="Times New Roman"/>
              <w:color w:val="auto"/>
              <w:kern w:val="2"/>
              <w:sz w:val="21"/>
              <w:szCs w:val="24"/>
              <w:lang w:val="en-US"/>
            </w:rPr>
            <m:t>M</m:t>
          </m:r>
        </m:oMath>
      </m:oMathPara>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式中，</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r>
          <m:rPr>
            <m:sty m:val="p"/>
          </m:rPr>
          <w:rPr>
            <w:rFonts w:hint="default" w:ascii="Cambria Math" w:hAnsi="Cambria Math" w:cs="Times New Roman"/>
            <w:color w:val="auto"/>
            <w:kern w:val="2"/>
            <w:sz w:val="21"/>
            <w:szCs w:val="24"/>
            <w:lang w:val="en-US"/>
          </w:rPr>
          <m:t>W</m:t>
        </m:r>
      </m:oMath>
      <w:r>
        <w:rPr>
          <w:rFonts w:hint="eastAsia" w:ascii="宋体" w:hAnsi="宋体" w:eastAsia="宋体" w:cs="宋体"/>
          <w:sz w:val="21"/>
          <w:szCs w:val="21"/>
        </w:rPr>
        <w:t>—烯丙基三甲基氯化铵的质量分数；％</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1</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—四苯硼钠溶液的体积，</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eastAsia="宋体"/>
                <w:color w:val="auto"/>
                <w:kern w:val="2"/>
                <w:sz w:val="21"/>
                <w:szCs w:val="24"/>
              </w:rPr>
            </m:ctrlPr>
          </m:sSubPr>
          <m:e>
            <m:r>
              <m:rPr>
                <m:sty m:val="p"/>
              </m:rPr>
              <w:rPr>
                <w:rFonts w:hint="default" w:ascii="Cambria Math" w:hAnsi="Cambria Math" w:eastAsia="宋体"/>
                <w:color w:val="auto"/>
                <w:kern w:val="2"/>
                <w:sz w:val="21"/>
                <w:szCs w:val="24"/>
              </w:rPr>
              <m:t>C</m:t>
            </m:r>
            <m:ctrlPr>
              <w:rPr>
                <w:rFonts w:hint="default" w:ascii="Cambria Math" w:hAnsi="Cambria Math" w:eastAsia="宋体"/>
                <w:color w:val="auto"/>
                <w:kern w:val="2"/>
                <w:sz w:val="21"/>
                <w:szCs w:val="24"/>
              </w:rPr>
            </m:ctrlPr>
          </m:e>
          <m:sub>
            <m:r>
              <m:rPr>
                <m:sty m:val="p"/>
              </m:rPr>
              <w:rPr>
                <w:rFonts w:hint="default" w:ascii="Cambria Math" w:hAnsi="Cambria Math" w:eastAsia="宋体"/>
                <w:color w:val="auto"/>
                <w:kern w:val="2"/>
                <w:sz w:val="21"/>
                <w:szCs w:val="24"/>
              </w:rPr>
              <m:t>1</m:t>
            </m:r>
            <m:ctrlPr>
              <w:rPr>
                <w:rFonts w:hint="default" w:ascii="Cambria Math" w:hAnsi="Cambria Math" w:eastAsia="宋体"/>
                <w:color w:val="auto"/>
                <w:kern w:val="2"/>
                <w:sz w:val="21"/>
                <w:szCs w:val="24"/>
              </w:rPr>
            </m:ctrlPr>
          </m:sub>
        </m:sSub>
      </m:oMath>
      <w:r>
        <w:rPr>
          <w:rFonts w:hint="eastAsia" w:ascii="宋体" w:hAnsi="宋体" w:eastAsia="宋体" w:cs="宋体"/>
          <w:sz w:val="21"/>
          <w:szCs w:val="21"/>
        </w:rPr>
        <w:t>一四苯硼钠的浓度，mol/Ls</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C</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2</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一十六烷基三甲基溴化铵溶液的浓度，mol/L；</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2</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-消耗的十六烷基三甲基溴化铵溶液体积，mL;</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W—烯丙基三甲基氯化铵的质量，g;</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M—烯丙基三甲基氯化铵的分子量，135.64;</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 烯丙基三甲基氯化按正电荷密度测试方法</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4.5.1 称取lg （精确至O.OOOlg）烯丙基三甲基氯化铵样品，转移至IOOML容量瓶，用蒸馏水定容。</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4.5.2 称取lmL上述配制好的蒸馏水溶液于锥形瓶中，加入50mL蒸馏水，滴一滴甲苯 胺蓝指示剂，用聚乙烯硫酸钾标准溶液，溶液由蓝变红即为终点。</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4.5.3 正电荷密度计算：</w:t>
      </w:r>
    </w:p>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m:oMathPara>
        <m:oMath>
          <m:r>
            <m:rPr>
              <m:sty m:val="p"/>
            </m:rPr>
            <w:rPr>
              <w:rFonts w:hint="default" w:ascii="Cambria Math" w:hAnsi="Cambria Math" w:cs="Times New Roman"/>
              <w:color w:val="auto"/>
              <w:kern w:val="2"/>
              <w:sz w:val="21"/>
              <w:szCs w:val="24"/>
              <w:lang w:val="en-US"/>
            </w:rPr>
            <m:t>P=</m:t>
          </m:r>
          <m:f>
            <m:fPr>
              <m:ctrlPr>
                <w:rPr>
                  <w:rFonts w:hint="default" w:ascii="Cambria Math" w:hAnsi="Cambria Math" w:cs="Times New Roman"/>
                  <w:color w:val="auto"/>
                  <w:kern w:val="2"/>
                  <w:sz w:val="21"/>
                  <w:szCs w:val="24"/>
                  <w:lang w:val="en-US"/>
                </w:rPr>
              </m:ctrlPr>
            </m:fPr>
            <m:num>
              <m:r>
                <w:rPr>
                  <w:rFonts w:hint="eastAsia" w:ascii="Cambria Math" w:hAnsi="Cambria Math" w:cs="Times New Roman"/>
                  <w:color w:val="auto"/>
                  <w:kern w:val="2"/>
                  <w:sz w:val="21"/>
                  <w:szCs w:val="24"/>
                  <w:lang w:val="en-US"/>
                </w:rPr>
                <m:t>v</m:t>
              </m:r>
              <m:r>
                <m:rPr>
                  <m:sty m:val="p"/>
                </m:rPr>
                <w:rPr>
                  <w:rFonts w:hint="eastAsia" w:ascii="MS Gothic" w:hAnsi="MS Gothic" w:eastAsia="MS Gothic" w:cs="MS Gothic"/>
                  <w:color w:val="auto"/>
                  <w:kern w:val="2"/>
                  <w:sz w:val="21"/>
                  <w:szCs w:val="24"/>
                  <w:lang w:val="en-US"/>
                </w:rPr>
                <m:t>*</m:t>
              </m:r>
              <m:r>
                <w:rPr>
                  <w:rFonts w:hint="eastAsia" w:ascii="Cambria Math" w:hAnsi="Cambria Math" w:cs="Times New Roman"/>
                  <w:color w:val="auto"/>
                  <w:kern w:val="2"/>
                  <w:sz w:val="21"/>
                  <w:szCs w:val="24"/>
                  <w:lang w:val="en-US"/>
                </w:rPr>
                <m:t>c</m:t>
              </m:r>
              <m:ctrlPr>
                <w:rPr>
                  <w:rFonts w:hint="default" w:ascii="Cambria Math" w:hAnsi="Cambria Math" w:cs="Times New Roman"/>
                  <w:color w:val="auto"/>
                  <w:kern w:val="2"/>
                  <w:sz w:val="21"/>
                  <w:szCs w:val="24"/>
                  <w:lang w:val="en-US"/>
                </w:rPr>
              </m:ctrlPr>
            </m:num>
            <m:den>
              <m:r>
                <w:rPr>
                  <w:rFonts w:hint="eastAsia" w:ascii="Cambria Math" w:hAnsi="Cambria Math" w:cs="Times New Roman"/>
                  <w:color w:val="auto"/>
                  <w:kern w:val="2"/>
                  <w:sz w:val="21"/>
                  <w:szCs w:val="24"/>
                  <w:lang w:val="en-US"/>
                </w:rPr>
                <m:t>m</m:t>
              </m:r>
              <m:ctrlPr>
                <w:rPr>
                  <w:rFonts w:hint="default" w:ascii="Cambria Math" w:hAnsi="Cambria Math" w:cs="Times New Roman"/>
                  <w:color w:val="auto"/>
                  <w:kern w:val="2"/>
                  <w:sz w:val="21"/>
                  <w:szCs w:val="24"/>
                  <w:lang w:val="en-US"/>
                </w:rPr>
              </m:ctrlPr>
            </m:den>
          </m:f>
        </m:oMath>
      </m:oMathPara>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式中：</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P一正电荷密度，mmol/g；</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r>
          <w:rPr>
            <w:rFonts w:hint="eastAsia" w:ascii="Cambria Math" w:hAnsi="Cambria Math" w:cs="Times New Roman"/>
            <w:color w:val="auto"/>
            <w:kern w:val="2"/>
            <w:sz w:val="21"/>
            <w:szCs w:val="24"/>
            <w:lang w:val="en-US"/>
          </w:rPr>
          <m:t>v</m:t>
        </m:r>
      </m:oMath>
      <w:r>
        <w:rPr>
          <w:rFonts w:hint="eastAsia" w:ascii="宋体" w:hAnsi="宋体" w:eastAsia="宋体" w:cs="宋体"/>
          <w:sz w:val="21"/>
          <w:szCs w:val="21"/>
        </w:rPr>
        <w:t xml:space="preserve">—滴定所消耗的聚乙烯硫酸铵标准溶液的体积，mL; </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r>
          <w:rPr>
            <w:rFonts w:hint="eastAsia" w:ascii="Cambria Math" w:hAnsi="Cambria Math" w:cs="Times New Roman"/>
            <w:color w:val="auto"/>
            <w:kern w:val="2"/>
            <w:sz w:val="21"/>
            <w:szCs w:val="24"/>
            <w:lang w:val="en-US"/>
          </w:rPr>
          <m:t>c</m:t>
        </m:r>
      </m:oMath>
      <w:r>
        <w:rPr>
          <w:rFonts w:hint="eastAsia" w:ascii="宋体" w:hAnsi="宋体" w:eastAsia="宋体" w:cs="宋体"/>
          <w:sz w:val="21"/>
          <w:szCs w:val="21"/>
        </w:rPr>
        <w:t xml:space="preserve">一聚乙烯硫酸钾标准溶液的浓度，mol/L, </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r>
          <w:rPr>
            <w:rFonts w:hint="eastAsia" w:ascii="Cambria Math" w:hAnsi="Cambria Math" w:cs="Times New Roman"/>
            <w:color w:val="auto"/>
            <w:kern w:val="2"/>
            <w:sz w:val="21"/>
            <w:szCs w:val="24"/>
            <w:lang w:val="en-US"/>
          </w:rPr>
          <m:t>m</m:t>
        </m:r>
      </m:oMath>
      <w:r>
        <w:rPr>
          <w:rFonts w:hint="eastAsia" w:ascii="宋体" w:hAnsi="宋体" w:eastAsia="宋体" w:cs="宋体"/>
          <w:sz w:val="21"/>
          <w:szCs w:val="21"/>
        </w:rPr>
        <w:t>—称取烯丙基三甲基氯化铵的质量，g。</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4.5.5 防膨率测定</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4.5.5.1 烯丙基三甲基氯化铵溶液：准确称取l.Og （精确至O.OOOlg）烯丙基三甲基氯化铵，配成质量分数为1.0%烯丙基三甲基氯化铵蒸馏水溶液；</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4.5.5.2 称取0.50g （精确至0.Olg）膨润土粉，装入lOmL离心管中，加入10mL （4.5.1 配制）烯丙基三甲基氯化铵水溶液，充分搅拌均匀，在室温下存放2h后，装入离心机 内，在转速为1500r/min离心15min,读出膨润土膨胀后的体积</w:t>
      </w: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1</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4.5.5.3 重复4.5.5.2,用lOmL蒸馏水取代1.0%烯丙基三甲基氯化铵溶液，测定膨润土在水中的膨胀体积V2:</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4.5.5.4 重复4.5.5.2,用10mL煤油取代1. 0%烯丙基三甲基氯化铵溶液，测定膨润土在煤 油中的膨胀体积</w:t>
      </w: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0</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4.5.5.5 防膨率计算</w:t>
      </w:r>
    </w:p>
    <w:p>
      <w:pPr>
        <w:keepNext w:val="0"/>
        <w:keepLines w:val="0"/>
        <w:pageBreakBefore w:val="0"/>
        <w:widowControl/>
        <w:kinsoku/>
        <w:wordWrap/>
        <w:overflowPunct/>
        <w:topLinePunct w:val="0"/>
        <w:autoSpaceDE/>
        <w:autoSpaceDN/>
        <w:bidi w:val="0"/>
        <w:adjustRightInd/>
        <w:snapToGrid/>
        <w:spacing w:line="288" w:lineRule="auto"/>
        <w:ind w:firstLine="420" w:firstLineChars="200"/>
        <w:jc w:val="center"/>
        <w:textAlignment w:val="auto"/>
        <w:outlineLvl w:val="9"/>
        <w:rPr>
          <w:rFonts w:hint="eastAsia" w:ascii="宋体" w:hAnsi="宋体" w:eastAsia="宋体" w:cs="宋体"/>
          <w:sz w:val="21"/>
          <w:szCs w:val="21"/>
        </w:rPr>
      </w:pPr>
      <m:oMathPara>
        <m:oMath>
          <m:r>
            <m:rPr>
              <m:sty m:val="p"/>
            </m:rPr>
            <w:rPr>
              <w:rFonts w:hint="default" w:ascii="Cambria Math" w:hAnsi="Cambria Math" w:eastAsia="宋体"/>
              <w:color w:val="auto"/>
              <w:kern w:val="2"/>
              <w:sz w:val="21"/>
              <w:szCs w:val="24"/>
            </w:rPr>
            <m:t>B1=</m:t>
          </m:r>
          <m:f>
            <m:fPr>
              <m:ctrlPr>
                <w:rPr>
                  <w:rFonts w:hint="default" w:ascii="Cambria Math" w:hAnsi="Cambria Math" w:eastAsia="宋体"/>
                  <w:color w:val="auto"/>
                  <w:kern w:val="2"/>
                  <w:sz w:val="21"/>
                  <w:szCs w:val="24"/>
                </w:rPr>
              </m:ctrlPr>
            </m:fPr>
            <m:num>
              <m:sSub>
                <m:sSubPr>
                  <m:ctrlPr>
                    <w:rPr>
                      <w:rFonts w:hint="default" w:ascii="Cambria Math" w:hAnsi="Cambria Math" w:eastAsia="宋体"/>
                      <w:color w:val="auto"/>
                      <w:kern w:val="2"/>
                      <w:sz w:val="21"/>
                      <w:szCs w:val="24"/>
                    </w:rPr>
                  </m:ctrlPr>
                </m:sSubPr>
                <m:e>
                  <m:r>
                    <m:rPr>
                      <m:sty m:val="p"/>
                    </m:rPr>
                    <w:rPr>
                      <w:rFonts w:hint="default" w:ascii="Cambria Math" w:hAnsi="Cambria Math" w:eastAsia="宋体"/>
                      <w:color w:val="auto"/>
                      <w:kern w:val="2"/>
                      <w:sz w:val="21"/>
                      <w:szCs w:val="24"/>
                    </w:rPr>
                    <m:t>V</m:t>
                  </m:r>
                  <m:ctrlPr>
                    <w:rPr>
                      <w:rFonts w:hint="default" w:ascii="Cambria Math" w:hAnsi="Cambria Math" w:eastAsia="宋体"/>
                      <w:color w:val="auto"/>
                      <w:kern w:val="2"/>
                      <w:sz w:val="21"/>
                      <w:szCs w:val="24"/>
                    </w:rPr>
                  </m:ctrlPr>
                </m:e>
                <m:sub>
                  <m:r>
                    <m:rPr>
                      <m:sty m:val="p"/>
                    </m:rPr>
                    <w:rPr>
                      <w:rFonts w:hint="default" w:ascii="Cambria Math" w:hAnsi="Cambria Math" w:eastAsia="宋体"/>
                      <w:color w:val="auto"/>
                      <w:kern w:val="2"/>
                      <w:sz w:val="21"/>
                      <w:szCs w:val="24"/>
                    </w:rPr>
                    <m:t>2</m:t>
                  </m:r>
                  <m:ctrlPr>
                    <w:rPr>
                      <w:rFonts w:hint="default" w:ascii="Cambria Math" w:hAnsi="Cambria Math" w:eastAsia="宋体"/>
                      <w:color w:val="auto"/>
                      <w:kern w:val="2"/>
                      <w:sz w:val="21"/>
                      <w:szCs w:val="24"/>
                    </w:rPr>
                  </m:ctrlPr>
                </m:sub>
              </m:sSub>
              <m:r>
                <m:rPr>
                  <m:sty m:val="p"/>
                </m:rPr>
                <w:rPr>
                  <w:rFonts w:hint="default" w:ascii="Cambria Math" w:hAnsi="Cambria Math" w:eastAsia="宋体"/>
                  <w:color w:val="auto"/>
                  <w:kern w:val="2"/>
                  <w:sz w:val="21"/>
                  <w:szCs w:val="24"/>
                </w:rPr>
                <m:t>-</m:t>
              </m:r>
              <m:sSub>
                <m:sSubPr>
                  <m:ctrlPr>
                    <w:rPr>
                      <w:rFonts w:hint="default" w:ascii="Cambria Math" w:hAnsi="Cambria Math" w:eastAsia="宋体"/>
                      <w:color w:val="auto"/>
                      <w:kern w:val="2"/>
                      <w:sz w:val="21"/>
                      <w:szCs w:val="24"/>
                    </w:rPr>
                  </m:ctrlPr>
                </m:sSubPr>
                <m:e>
                  <m:r>
                    <m:rPr>
                      <m:sty m:val="p"/>
                    </m:rPr>
                    <w:rPr>
                      <w:rFonts w:hint="default" w:ascii="Cambria Math" w:hAnsi="Cambria Math" w:eastAsia="宋体"/>
                      <w:color w:val="auto"/>
                      <w:kern w:val="2"/>
                      <w:sz w:val="21"/>
                      <w:szCs w:val="24"/>
                    </w:rPr>
                    <m:t>V</m:t>
                  </m:r>
                  <m:ctrlPr>
                    <w:rPr>
                      <w:rFonts w:hint="default" w:ascii="Cambria Math" w:hAnsi="Cambria Math" w:eastAsia="宋体"/>
                      <w:color w:val="auto"/>
                      <w:kern w:val="2"/>
                      <w:sz w:val="21"/>
                      <w:szCs w:val="24"/>
                    </w:rPr>
                  </m:ctrlPr>
                </m:e>
                <m:sub>
                  <m:r>
                    <m:rPr>
                      <m:sty m:val="p"/>
                    </m:rPr>
                    <w:rPr>
                      <w:rFonts w:hint="default" w:ascii="Cambria Math" w:hAnsi="Cambria Math" w:eastAsia="宋体"/>
                      <w:color w:val="auto"/>
                      <w:kern w:val="2"/>
                      <w:sz w:val="21"/>
                      <w:szCs w:val="24"/>
                    </w:rPr>
                    <m:t>1</m:t>
                  </m:r>
                  <m:ctrlPr>
                    <w:rPr>
                      <w:rFonts w:hint="default" w:ascii="Cambria Math" w:hAnsi="Cambria Math" w:eastAsia="宋体"/>
                      <w:color w:val="auto"/>
                      <w:kern w:val="2"/>
                      <w:sz w:val="21"/>
                      <w:szCs w:val="24"/>
                    </w:rPr>
                  </m:ctrlPr>
                </m:sub>
              </m:sSub>
              <m:ctrlPr>
                <w:rPr>
                  <w:rFonts w:hint="default" w:ascii="Cambria Math" w:hAnsi="Cambria Math" w:eastAsia="宋体"/>
                  <w:color w:val="auto"/>
                  <w:kern w:val="2"/>
                  <w:sz w:val="21"/>
                  <w:szCs w:val="24"/>
                </w:rPr>
              </m:ctrlPr>
            </m:num>
            <m:den>
              <m:sSub>
                <m:sSubPr>
                  <m:ctrlPr>
                    <w:rPr>
                      <w:rFonts w:hint="default" w:ascii="Cambria Math" w:hAnsi="Cambria Math" w:eastAsia="宋体"/>
                      <w:color w:val="auto"/>
                      <w:kern w:val="2"/>
                      <w:sz w:val="21"/>
                      <w:szCs w:val="24"/>
                    </w:rPr>
                  </m:ctrlPr>
                </m:sSubPr>
                <m:e>
                  <m:r>
                    <m:rPr>
                      <m:sty m:val="p"/>
                    </m:rPr>
                    <w:rPr>
                      <w:rFonts w:hint="default" w:ascii="Cambria Math" w:hAnsi="Cambria Math" w:eastAsia="宋体"/>
                      <w:color w:val="auto"/>
                      <w:kern w:val="2"/>
                      <w:sz w:val="21"/>
                      <w:szCs w:val="24"/>
                    </w:rPr>
                    <m:t>V</m:t>
                  </m:r>
                  <m:ctrlPr>
                    <w:rPr>
                      <w:rFonts w:hint="default" w:ascii="Cambria Math" w:hAnsi="Cambria Math" w:eastAsia="宋体"/>
                      <w:color w:val="auto"/>
                      <w:kern w:val="2"/>
                      <w:sz w:val="21"/>
                      <w:szCs w:val="24"/>
                    </w:rPr>
                  </m:ctrlPr>
                </m:e>
                <m:sub>
                  <m:r>
                    <m:rPr>
                      <m:sty m:val="p"/>
                    </m:rPr>
                    <w:rPr>
                      <w:rFonts w:hint="default" w:ascii="Cambria Math" w:hAnsi="Cambria Math" w:eastAsia="宋体"/>
                      <w:color w:val="auto"/>
                      <w:kern w:val="2"/>
                      <w:sz w:val="21"/>
                      <w:szCs w:val="24"/>
                    </w:rPr>
                    <m:t>2</m:t>
                  </m:r>
                  <m:ctrlPr>
                    <w:rPr>
                      <w:rFonts w:hint="default" w:ascii="Cambria Math" w:hAnsi="Cambria Math" w:eastAsia="宋体"/>
                      <w:color w:val="auto"/>
                      <w:kern w:val="2"/>
                      <w:sz w:val="21"/>
                      <w:szCs w:val="24"/>
                    </w:rPr>
                  </m:ctrlPr>
                </m:sub>
              </m:sSub>
              <m:r>
                <m:rPr>
                  <m:sty m:val="p"/>
                </m:rPr>
                <w:rPr>
                  <w:rFonts w:hint="default" w:ascii="Cambria Math" w:hAnsi="Cambria Math" w:eastAsia="宋体"/>
                  <w:color w:val="auto"/>
                  <w:kern w:val="2"/>
                  <w:sz w:val="21"/>
                  <w:szCs w:val="24"/>
                </w:rPr>
                <m:t>-</m:t>
              </m:r>
              <m:sSub>
                <m:sSubPr>
                  <m:ctrlPr>
                    <w:rPr>
                      <w:rFonts w:hint="default" w:ascii="Cambria Math" w:hAnsi="Cambria Math" w:eastAsia="宋体"/>
                      <w:color w:val="auto"/>
                      <w:kern w:val="2"/>
                      <w:sz w:val="21"/>
                      <w:szCs w:val="24"/>
                    </w:rPr>
                  </m:ctrlPr>
                </m:sSubPr>
                <m:e>
                  <m:r>
                    <m:rPr>
                      <m:sty m:val="p"/>
                    </m:rPr>
                    <w:rPr>
                      <w:rFonts w:hint="default" w:ascii="Cambria Math" w:hAnsi="Cambria Math" w:eastAsia="宋体"/>
                      <w:color w:val="auto"/>
                      <w:kern w:val="2"/>
                      <w:sz w:val="21"/>
                      <w:szCs w:val="24"/>
                    </w:rPr>
                    <m:t>V</m:t>
                  </m:r>
                  <m:ctrlPr>
                    <w:rPr>
                      <w:rFonts w:hint="default" w:ascii="Cambria Math" w:hAnsi="Cambria Math" w:eastAsia="宋体"/>
                      <w:color w:val="auto"/>
                      <w:kern w:val="2"/>
                      <w:sz w:val="21"/>
                      <w:szCs w:val="24"/>
                    </w:rPr>
                  </m:ctrlPr>
                </m:e>
                <m:sub>
                  <m:r>
                    <m:rPr>
                      <m:sty m:val="p"/>
                    </m:rPr>
                    <w:rPr>
                      <w:rFonts w:hint="default" w:ascii="Cambria Math" w:hAnsi="Cambria Math" w:eastAsia="宋体"/>
                      <w:color w:val="auto"/>
                      <w:kern w:val="2"/>
                      <w:sz w:val="21"/>
                      <w:szCs w:val="24"/>
                    </w:rPr>
                    <m:t>0</m:t>
                  </m:r>
                  <m:ctrlPr>
                    <w:rPr>
                      <w:rFonts w:hint="default" w:ascii="Cambria Math" w:hAnsi="Cambria Math" w:eastAsia="宋体"/>
                      <w:color w:val="auto"/>
                      <w:kern w:val="2"/>
                      <w:sz w:val="21"/>
                      <w:szCs w:val="24"/>
                    </w:rPr>
                  </m:ctrlPr>
                </m:sub>
              </m:sSub>
              <m:ctrlPr>
                <w:rPr>
                  <w:rFonts w:hint="default" w:ascii="Cambria Math" w:hAnsi="Cambria Math" w:eastAsia="宋体"/>
                  <w:color w:val="auto"/>
                  <w:kern w:val="2"/>
                  <w:sz w:val="21"/>
                  <w:szCs w:val="24"/>
                </w:rPr>
              </m:ctrlPr>
            </m:den>
          </m:f>
          <m:r>
            <m:rPr>
              <m:sty m:val="p"/>
            </m:rPr>
            <w:rPr>
              <w:rFonts w:hint="default" w:ascii="Cambria Math" w:hAnsi="Cambria Math" w:eastAsia="宋体"/>
              <w:color w:val="auto"/>
              <w:kern w:val="2"/>
              <w:sz w:val="21"/>
              <w:szCs w:val="24"/>
            </w:rPr>
            <m:t>×100%</m:t>
          </m:r>
        </m:oMath>
      </m:oMathPara>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式中：</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r>
          <m:rPr>
            <m:sty m:val="p"/>
          </m:rPr>
          <w:rPr>
            <w:rFonts w:hint="default" w:ascii="Cambria Math" w:hAnsi="Cambria Math" w:cs="Times New Roman"/>
            <w:color w:val="auto"/>
            <w:kern w:val="2"/>
            <w:sz w:val="21"/>
            <w:szCs w:val="24"/>
            <w:lang w:val="en-US"/>
          </w:rPr>
          <m:t>B1</m:t>
        </m:r>
      </m:oMath>
      <w:r>
        <w:rPr>
          <w:rFonts w:hint="eastAsia" w:ascii="宋体" w:hAnsi="宋体" w:eastAsia="宋体" w:cs="宋体"/>
          <w:sz w:val="21"/>
          <w:szCs w:val="21"/>
        </w:rPr>
        <w:t>—防膨率，％；</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1</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—膨润土在烯丙基三甲基氯化铵溶液中的膨胀体积，mL；</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2</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—膨润土在蒸馏水中的膨胀体积，mL；</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m:oMath>
        <m:sSub>
          <m:sSubPr>
            <m:ctrlPr>
              <w:rPr>
                <w:rFonts w:hint="default" w:ascii="Cambria Math" w:hAnsi="Cambria Math" w:cs="Times New Roman"/>
                <w:color w:val="auto"/>
                <w:kern w:val="2"/>
                <w:sz w:val="21"/>
                <w:szCs w:val="24"/>
                <w:lang w:val="en-US"/>
              </w:rPr>
            </m:ctrlPr>
          </m:sSubPr>
          <m:e>
            <m:r>
              <m:rPr>
                <m:sty m:val="p"/>
              </m:rPr>
              <w:rPr>
                <w:rFonts w:hint="default" w:ascii="Cambria Math" w:hAnsi="Cambria Math" w:cs="Times New Roman"/>
                <w:color w:val="auto"/>
                <w:kern w:val="2"/>
                <w:sz w:val="21"/>
                <w:szCs w:val="24"/>
                <w:lang w:val="en-US"/>
              </w:rPr>
              <m:t>V</m:t>
            </m:r>
            <m:ctrlPr>
              <w:rPr>
                <w:rFonts w:hint="default" w:ascii="Cambria Math" w:hAnsi="Cambria Math" w:cs="Times New Roman"/>
                <w:color w:val="auto"/>
                <w:kern w:val="2"/>
                <w:sz w:val="21"/>
                <w:szCs w:val="24"/>
                <w:lang w:val="en-US"/>
              </w:rPr>
            </m:ctrlPr>
          </m:e>
          <m:sub>
            <m:r>
              <m:rPr>
                <m:sty m:val="p"/>
              </m:rPr>
              <w:rPr>
                <w:rFonts w:hint="default" w:ascii="Cambria Math" w:hAnsi="Cambria Math" w:cs="Times New Roman"/>
                <w:color w:val="auto"/>
                <w:kern w:val="2"/>
                <w:sz w:val="21"/>
                <w:szCs w:val="24"/>
                <w:lang w:val="en-US"/>
              </w:rPr>
              <m:t>0</m:t>
            </m:r>
            <m:ctrlPr>
              <w:rPr>
                <w:rFonts w:hint="default" w:ascii="Cambria Math" w:hAnsi="Cambria Math" w:cs="Times New Roman"/>
                <w:color w:val="auto"/>
                <w:kern w:val="2"/>
                <w:sz w:val="21"/>
                <w:szCs w:val="24"/>
                <w:lang w:val="en-US"/>
              </w:rPr>
            </m:ctrlPr>
          </m:sub>
        </m:sSub>
      </m:oMath>
      <w:r>
        <w:rPr>
          <w:rFonts w:hint="eastAsia" w:ascii="宋体" w:hAnsi="宋体" w:eastAsia="宋体" w:cs="宋体"/>
          <w:sz w:val="21"/>
          <w:szCs w:val="21"/>
        </w:rPr>
        <w:t>—膨润土在煤油中的膨胀体积，mL。</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测定结果相对偏差不大于0.5%时，取平行测定结果的算术平均值为最终测定结果， 否则重新测定。</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4.6 产品要求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4.6.1 质量要求及技术标准：所供产品质量合格，符合本次招标技术要求。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4.6.2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4.7 样品检测</w:t>
      </w:r>
    </w:p>
    <w:p>
      <w:pPr>
        <w:keepNext w:val="0"/>
        <w:keepLines w:val="0"/>
        <w:pageBreakBefore w:val="0"/>
        <w:widowControl/>
        <w:kinsoku/>
        <w:wordWrap/>
        <w:overflowPunct/>
        <w:topLinePunct w:val="0"/>
        <w:autoSpaceDE/>
        <w:autoSpaceDN/>
        <w:bidi w:val="0"/>
        <w:adjustRightInd/>
        <w:snapToGrid/>
        <w:spacing w:line="288" w:lineRule="auto"/>
        <w:ind w:firstLine="422" w:firstLineChars="200"/>
        <w:jc w:val="left"/>
        <w:textAlignment w:val="auto"/>
        <w:outlineLvl w:val="9"/>
        <w:rPr>
          <w:rFonts w:hint="eastAsia" w:ascii="宋体" w:hAnsi="宋体" w:eastAsia="宋体" w:cs="宋体"/>
          <w:b/>
          <w:bCs/>
          <w:color w:val="FF0000"/>
          <w:kern w:val="0"/>
          <w:sz w:val="21"/>
          <w:szCs w:val="21"/>
        </w:rPr>
      </w:pPr>
      <w:r>
        <w:rPr>
          <w:rFonts w:hint="eastAsia" w:ascii="宋体" w:hAnsi="宋体" w:eastAsia="宋体" w:cs="宋体"/>
          <w:b/>
          <w:bCs/>
          <w:color w:val="FF0000"/>
          <w:sz w:val="21"/>
          <w:szCs w:val="21"/>
          <w:lang w:val="zh-CN"/>
        </w:rPr>
        <w:t>本项目评标结果公示后招标人通知第一中标候选人3 个工作日内送样，由招标人送</w:t>
      </w:r>
      <w:r>
        <w:rPr>
          <w:rFonts w:hint="eastAsia" w:ascii="宋体" w:hAnsi="宋体" w:eastAsia="宋体" w:cs="宋体"/>
          <w:b/>
          <w:bCs/>
          <w:color w:val="FF0000"/>
          <w:sz w:val="21"/>
          <w:szCs w:val="21"/>
        </w:rPr>
        <w:t>具有CMA</w:t>
      </w:r>
      <w:r>
        <w:rPr>
          <w:rFonts w:hint="eastAsia" w:ascii="宋体" w:hAnsi="宋体" w:eastAsia="宋体" w:cs="宋体"/>
          <w:b/>
          <w:bCs/>
          <w:color w:val="FF0000"/>
          <w:sz w:val="21"/>
          <w:szCs w:val="21"/>
          <w:lang w:val="zh-CN"/>
        </w:rPr>
        <w:t>检测</w:t>
      </w:r>
      <w:r>
        <w:rPr>
          <w:rFonts w:hint="eastAsia" w:ascii="宋体" w:hAnsi="宋体" w:eastAsia="宋体" w:cs="宋体"/>
          <w:b/>
          <w:bCs/>
          <w:color w:val="FF0000"/>
          <w:sz w:val="21"/>
          <w:szCs w:val="21"/>
        </w:rPr>
        <w:t>资质的检测</w:t>
      </w:r>
      <w:r>
        <w:rPr>
          <w:rFonts w:hint="eastAsia" w:ascii="宋体" w:hAnsi="宋体" w:eastAsia="宋体" w:cs="宋体"/>
          <w:b/>
          <w:bCs/>
          <w:color w:val="FF0000"/>
          <w:sz w:val="21"/>
          <w:szCs w:val="21"/>
          <w:lang w:val="zh-CN"/>
        </w:rPr>
        <w:t>机构进行检测。样品检测合格方可下发中标通知书。检测费由第一中标候选人自行到检测机构交款，若样品不合格或逾期送样，则顺延下一名次中标候选人，直至产生合格者。若全部中标候选人均不合格，则重新招标。</w:t>
      </w:r>
    </w:p>
    <w:p>
      <w:pPr>
        <w:keepNext w:val="0"/>
        <w:keepLines w:val="0"/>
        <w:pageBreakBefore w:val="0"/>
        <w:widowControl/>
        <w:kinsoku/>
        <w:wordWrap/>
        <w:overflowPunct/>
        <w:topLinePunct w:val="0"/>
        <w:autoSpaceDE/>
        <w:autoSpaceDN/>
        <w:bidi w:val="0"/>
        <w:adjustRightInd/>
        <w:snapToGrid/>
        <w:spacing w:line="288" w:lineRule="auto"/>
        <w:ind w:firstLine="440" w:firstLineChars="200"/>
        <w:textAlignment w:val="auto"/>
        <w:outlineLvl w:val="9"/>
        <w:rPr>
          <w:rFonts w:hint="eastAsia"/>
        </w:rPr>
      </w:pPr>
    </w:p>
    <w:p>
      <w:pPr>
        <w:pStyle w:val="2"/>
        <w:bidi w:val="0"/>
        <w:rPr>
          <w:rFonts w:hint="eastAsia" w:ascii="黑体" w:hAnsi="宋体" w:eastAsia="黑体"/>
          <w:bCs/>
          <w:kern w:val="2"/>
          <w:sz w:val="28"/>
          <w:szCs w:val="28"/>
          <w:lang w:val="en-US" w:eastAsia="zh-CN"/>
        </w:rPr>
      </w:pPr>
      <w:r>
        <w:rPr>
          <w:rFonts w:hint="eastAsia"/>
        </w:rPr>
        <w:br w:type="page"/>
      </w:r>
      <w:bookmarkStart w:id="35" w:name="_Toc1383"/>
      <w:bookmarkStart w:id="36" w:name="_Toc15481775"/>
      <w:r>
        <w:rPr>
          <w:rFonts w:hint="eastAsia" w:ascii="黑体" w:hAnsi="宋体" w:eastAsia="黑体"/>
          <w:bCs/>
          <w:kern w:val="2"/>
          <w:sz w:val="28"/>
          <w:szCs w:val="28"/>
          <w:lang w:val="en-US" w:eastAsia="zh-CN"/>
        </w:rPr>
        <w:t>附件3：《中国石油天然气集团有限公司投标人失信行为管理办法（试行）》</w:t>
      </w:r>
      <w:bookmarkEnd w:id="35"/>
    </w:p>
    <w:p>
      <w:pPr>
        <w:spacing w:line="288" w:lineRule="auto"/>
        <w:outlineLvl w:val="2"/>
        <w:rPr>
          <w:rFonts w:hint="eastAsia"/>
        </w:rPr>
      </w:pPr>
      <w:bookmarkStart w:id="37" w:name="_Toc29377"/>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6"/>
      <w:bookmarkEnd w:id="37"/>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1" name="椭圆 1"/>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C7nM8x4wEAAK0D&#10;AAAOAAAAAAAAAAEAIAAAACIBAABkcnMvZTJvRG9jLnhtbFBLBQYAAAAABgAGAFkBAAB3BQ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4297680" cy="304800"/>
            <wp:effectExtent l="0" t="0" r="7620" b="0"/>
            <wp:docPr id="2" name="图片 19"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说明: C:\Users\abc\AppData\Roaming\Tencent\Users\42054949\QQ\WinTemp\RichOle\HPR}P)YYPQH$3%{KEZ[)3X8.png"/>
                    <pic:cNvPicPr>
                      <a:picLocks noChangeAspect="1"/>
                    </pic:cNvPicPr>
                  </pic:nvPicPr>
                  <pic:blipFill>
                    <a:blip r:embed="rId4"/>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3" name="椭圆 3"/>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Gnzc1wAAAAoB&#10;AAAPAAAAAAAAAAEAIAAAACIAAABkcnMvZG93bnJldi54bWxQSwECFAAUAAAACACHTuJAyXnEBeMB&#10;AACtAwAADgAAAAAAAAABACAAAAAmAQAAZHJzL2Uyb0RvYy54bWxQSwUGAAAAAAYABgBZAQAAewUA&#10;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325745" cy="1059815"/>
            <wp:effectExtent l="0" t="0" r="8255" b="6985"/>
            <wp:docPr id="4" name="图片 20"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descr="说明: C:\Users\abc\AppData\Roaming\Tencent\Users\42054949\QQ\WinTemp\RichOle\U3QC4~N`3O}B54}T%5NKXY2.png"/>
                    <pic:cNvPicPr>
                      <a:picLocks noChangeAspect="1"/>
                    </pic:cNvPicPr>
                  </pic:nvPicPr>
                  <pic:blipFill>
                    <a:blip r:embed="rId5"/>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5" name="椭圆 5"/>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37NLXAAAA&#10;CAEAAA8AAAAAAAAAAQAgAAAAIgAAAGRycy9kb3ducmV2LnhtbFBLAQIUABQAAAAIAIdO4kCn04P5&#10;5QEAAK4DAAAOAAAAAAAAAAEAIAAAACYBAABkcnMvZTJvRG9jLnhtbFBLBQYAAAAABgAGAFkBAAB9&#10;BQ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265420" cy="1074420"/>
            <wp:effectExtent l="0" t="0" r="11430" b="11430"/>
            <wp:docPr id="6" name="图片 21"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说明: C:\Users\abc\AppData\Roaming\Tencent\Users\42054949\QQ\WinTemp\RichOle\PI$9P51%_3)$`]FJTC])1M3.png"/>
                    <pic:cNvPicPr>
                      <a:picLocks noChangeAspect="1"/>
                    </pic:cNvPicPr>
                  </pic:nvPicPr>
                  <pic:blipFill>
                    <a:blip r:embed="rId6"/>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7" name="椭圆 7"/>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HyNX2gAAAAoBAAAPAAAAAAAAAAEAIAAAACIAAABkcnMvZG93bnJldi54&#10;bWxQSwECFAAUAAAACACHTuJAqGTGj/gBAADcAwAADgAAAAAAAAABACAAAAApAQAAZHJzL2Uyb0Rv&#10;Yy54bWxQSwUGAAAAAAYABgBZAQAAkwU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8" name="椭圆 8"/>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Ah8m7b3AQAA3AMAAA4AAAAAAAAAAQAgAAAAKAEAAGRycy9lMm9Eb2Mu&#10;eG1sUEsFBgAAAAAGAAYAWQEAAJEFA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9" name="椭圆 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RPMvYAAAACAEAAA8AAAAAAAAAAQAgAAAAIgAAAGRycy9kb3ducmV2Lnht&#10;bFBLAQIUABQAAAAIAIdO4kAxgppN+QEAANwDAAAOAAAAAAAAAAEAIAAAACcBAABkcnMvZTJvRG9j&#10;LnhtbFBLBQYAAAAABgAGAFkBAACSBQAAAAA=&#10;">
                <v:fill on="f" focussize="0,0"/>
                <v:stroke weight="2pt" color="#FF0000" joinstyle="round"/>
                <v:imagedata o:title=""/>
                <o:lock v:ext="edit" aspectratio="f"/>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10" name="椭圆 10"/>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fjDCp/gBAADeAwAADgAAAAAAAAABACAAAAApAQAAZHJzL2Uyb0Rv&#10;Yy54bWxQSwUGAAAAAAYABgBZAQAAkwUAAAAA&#10;">
                <v:fill on="f" focussize="0,0"/>
                <v:stroke weight="2pt" color="#FF0000" joinstyle="round"/>
                <v:imagedata o:title=""/>
                <o:lock v:ext="edit" aspectratio="f"/>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11" name="图片 22"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2" descr="说明: C:\Users\abc\AppData\Roaming\Tencent\Users\42054949\QQ\WinTemp\RichOle\PI$9P51%_3)$`]FJTC])1M3.png"/>
                    <pic:cNvPicPr>
                      <a:picLocks noChangeAspect="1"/>
                    </pic:cNvPicPr>
                  </pic:nvPicPr>
                  <pic:blipFill>
                    <a:blip r:embed="rId6"/>
                    <a:srcRect r="-473"/>
                    <a:stretch>
                      <a:fillRect/>
                    </a:stretch>
                  </pic:blipFill>
                  <pic:spPr>
                    <a:xfrm>
                      <a:off x="0" y="0"/>
                      <a:ext cx="5280660" cy="10287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MS Gothic">
    <w:panose1 w:val="020B06090702050802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33F0F"/>
    <w:rsid w:val="0A25629B"/>
    <w:rsid w:val="26FF3D85"/>
    <w:rsid w:val="7C23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3"/>
    <w:basedOn w:val="1"/>
    <w:next w:val="1"/>
    <w:qFormat/>
    <w:uiPriority w:val="0"/>
    <w:pPr>
      <w:keepNext/>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outlineLvl w:val="2"/>
    </w:pPr>
    <w:rPr>
      <w:rFonts w:ascii="MS Sans Serif" w:hAnsi="MS Sans Serif"/>
      <w:sz w:val="24"/>
      <w:szCs w:val="2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2020-09-02T07:07:00Z</dcterms:created>
  <dc:creator>zhengbin-jl</dc:creator>
  <cp:lastModifiedBy>zhengbin-jl</cp:lastModifiedBy>
  <dcterms:modified xsi:type="dcterms:W3CDTF">2020-09-04T03:24:23Z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