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lang w:val="en-US" w:eastAsia="zh-CN"/>
        </w:rPr>
      </w:pPr>
      <w:r>
        <w:rPr>
          <w:rFonts w:hint="eastAsia" w:eastAsia="黑体"/>
          <w:kern w:val="2"/>
          <w:sz w:val="28"/>
          <w:szCs w:val="28"/>
        </w:rPr>
        <w:t>吉林油田</w:t>
      </w:r>
      <w:r>
        <w:rPr>
          <w:rFonts w:hint="eastAsia" w:ascii="黑体" w:eastAsia="黑体" w:cs="黑体"/>
          <w:color w:val="0000C8"/>
          <w:kern w:val="2"/>
          <w:sz w:val="28"/>
          <w:szCs w:val="28"/>
          <w:lang w:eastAsia="zh-CN"/>
        </w:rPr>
        <w:t>脂肪酸双戊多糖脂生物胶</w:t>
      </w:r>
      <w:r>
        <w:rPr>
          <w:rFonts w:hint="eastAsia" w:eastAsia="黑体"/>
          <w:kern w:val="2"/>
          <w:sz w:val="28"/>
          <w:szCs w:val="28"/>
        </w:rPr>
        <w:t>物资采购招标公告</w:t>
      </w:r>
      <w:r>
        <w:rPr>
          <w:rFonts w:hint="eastAsia" w:eastAsia="黑体"/>
          <w:kern w:val="2"/>
          <w:sz w:val="28"/>
          <w:szCs w:val="28"/>
          <w:lang w:eastAsia="zh-CN"/>
        </w:rPr>
        <w:t>二次</w:t>
      </w:r>
    </w:p>
    <w:p>
      <w:pPr>
        <w:spacing w:line="288" w:lineRule="auto"/>
        <w:ind w:firstLine="420"/>
        <w:jc w:val="right"/>
        <w:rPr>
          <w:rFonts w:hint="default" w:ascii="黑体" w:hAnsi="黑体" w:eastAsia="黑体" w:cs="黑体"/>
          <w:color w:val="0000CC"/>
          <w:sz w:val="28"/>
          <w:szCs w:val="28"/>
          <w:u w:val="single"/>
          <w:lang w:val="en-US" w:eastAsia="zh-CN"/>
        </w:rPr>
      </w:pPr>
      <w:r>
        <w:t xml:space="preserve">                              </w:t>
      </w:r>
      <w:bookmarkStart w:id="37" w:name="_GoBack"/>
      <w:bookmarkEnd w:id="37"/>
      <w:r>
        <w:rPr>
          <w:rFonts w:hint="eastAsia" w:eastAsia="黑体"/>
          <w:kern w:val="2"/>
          <w:sz w:val="28"/>
          <w:szCs w:val="28"/>
          <w:lang w:val="zh-CN"/>
        </w:rPr>
        <w:t>招标编号：</w:t>
      </w:r>
      <w:r>
        <w:rPr>
          <w:rFonts w:hint="eastAsia" w:ascii="黑体" w:hAnsi="黑体" w:eastAsia="黑体" w:cs="黑体"/>
          <w:sz w:val="28"/>
          <w:szCs w:val="28"/>
          <w:lang w:eastAsia="zh-CN"/>
        </w:rPr>
        <w:t>JLYT-ZBZX-2020-WZ-085-2</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347086849"/>
      <w:bookmarkStart w:id="1" w:name="_Toc347086983"/>
      <w:bookmarkStart w:id="2" w:name="_Toc347209678"/>
      <w:bookmarkStart w:id="3" w:name="_Toc489354666"/>
      <w:bookmarkStart w:id="4" w:name="_Toc520895294"/>
      <w:bookmarkStart w:id="5" w:name="_Toc17902421"/>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086984"/>
      <w:bookmarkStart w:id="7" w:name="_Toc347086850"/>
      <w:bookmarkStart w:id="8" w:name="_Toc347209679"/>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489354667"/>
      <w:bookmarkStart w:id="10" w:name="_Toc520895295"/>
      <w:bookmarkStart w:id="11" w:name="_Toc17902422"/>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u w:val="single"/>
        </w:rPr>
      </w:pPr>
      <w:r>
        <w:rPr>
          <w:rFonts w:hint="eastAsia" w:ascii="宋体" w:hAnsi="宋体" w:cs="宋体"/>
          <w:sz w:val="21"/>
          <w:szCs w:val="21"/>
        </w:rPr>
        <w:t>2.1.1本项目预计采购金额</w:t>
      </w:r>
      <w:r>
        <w:rPr>
          <w:rFonts w:hint="eastAsia" w:ascii="宋体" w:hAnsi="宋体" w:cs="宋体"/>
          <w:color w:val="0000FF"/>
          <w:sz w:val="21"/>
          <w:szCs w:val="21"/>
          <w:lang w:val="en-US" w:eastAsia="zh-CN"/>
        </w:rPr>
        <w:t>388</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自合同签订之日起一年。有效期满一年，或者有效期未满、但框架额度已满，则本次中标结果终止；当产品市场价格波动率达到或超过10%，且产品价格波动持续时间达20个工作日，则本次招标结果终止；</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color w:val="0000C8"/>
          <w:sz w:val="21"/>
          <w:szCs w:val="21"/>
        </w:rPr>
        <w:t>吉林油田兴业油化公司施工现场</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2.1.3交货期或供货周期：</w:t>
      </w:r>
      <w:r>
        <w:rPr>
          <w:rFonts w:hint="eastAsia" w:ascii="宋体" w:hAnsi="宋体" w:cs="宋体"/>
          <w:color w:val="0000C8"/>
          <w:sz w:val="21"/>
          <w:szCs w:val="21"/>
        </w:rPr>
        <w:t>框架有效期内，按照需求单位电话通知数量，15个工作日内送达指定地点</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ascii="宋体" w:hAnsi="宋体" w:cs="宋体"/>
          <w:color w:val="0000C8"/>
          <w:sz w:val="21"/>
          <w:szCs w:val="21"/>
        </w:rPr>
        <w:t>乙方自定</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2.1.5交货方式：乙方送货；</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C"/>
          <w:sz w:val="21"/>
          <w:szCs w:val="21"/>
          <w:highlight w:val="none"/>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C8"/>
          <w:sz w:val="21"/>
          <w:szCs w:val="21"/>
          <w:highlight w:val="none"/>
        </w:rPr>
        <w:t xml:space="preserve"> 拟确定2家中标单位。其中，第二中标人为备选供应商。启动备选供应商条件： 第一中标人存在产品质量问题、无正当理由拒签合同及技术协议书、无合同履 行能力或部分丧失合同履行能力、与吉林油田发生重大法律纠纷、及其他违法违规情形，可启用备选供应商</w:t>
      </w:r>
      <w:r>
        <w:rPr>
          <w:rFonts w:hint="eastAsia" w:ascii="宋体" w:hAnsi="宋体" w:cs="宋体"/>
          <w:color w:val="0000CC"/>
          <w:sz w:val="21"/>
          <w:szCs w:val="21"/>
          <w:highlight w:val="none"/>
        </w:rPr>
        <w:t>；</w:t>
      </w:r>
    </w:p>
    <w:p>
      <w:pPr>
        <w:spacing w:line="288"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C8"/>
          <w:sz w:val="21"/>
          <w:szCs w:val="21"/>
          <w:highlight w:val="none"/>
          <w:lang w:val="en-US" w:eastAsia="zh-CN"/>
        </w:rPr>
        <w:t>100%。</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pacing w:line="288" w:lineRule="auto"/>
        <w:ind w:left="440" w:leftChars="200"/>
        <w:rPr>
          <w:rFonts w:hint="eastAsia" w:ascii="宋体" w:hAnsi="宋体" w:cs="宋体"/>
          <w:color w:val="0000C8"/>
          <w:sz w:val="21"/>
          <w:szCs w:val="21"/>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履约保证金：签订合同前，招标人向中标人收取履约保证金，</w:t>
      </w:r>
      <w:r>
        <w:rPr>
          <w:rFonts w:hint="eastAsia" w:cs="宋体"/>
          <w:color w:val="000FDC"/>
          <w:szCs w:val="21"/>
          <w:lang w:val="en-US" w:eastAsia="zh-CN"/>
        </w:rPr>
        <w:t>收取标准为中标额度（不含税）的2%；最高不超50万。履约保证期限与合同有效期一致；</w:t>
      </w:r>
      <w:r>
        <w:rPr>
          <w:rFonts w:hint="eastAsia" w:ascii="宋体" w:hAnsi="宋体" w:cs="宋体"/>
          <w:color w:val="0000C8"/>
          <w:sz w:val="21"/>
          <w:szCs w:val="21"/>
        </w:rPr>
        <w:t xml:space="preserve"> </w:t>
      </w:r>
    </w:p>
    <w:p>
      <w:pPr>
        <w:snapToGrid w:val="0"/>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：中标厂家签订的合同，招标人将收取乙方挂账金额（不含税）</w:t>
      </w:r>
      <w:r>
        <w:rPr>
          <w:rFonts w:hint="eastAsia" w:ascii="宋体" w:hAnsi="宋体" w:cs="宋体"/>
          <w:color w:val="0000C8"/>
          <w:sz w:val="21"/>
          <w:szCs w:val="21"/>
          <w:highlight w:val="none"/>
        </w:rPr>
        <w:t>2%</w:t>
      </w:r>
      <w:r>
        <w:rPr>
          <w:rFonts w:hint="eastAsia" w:ascii="宋体" w:hAnsi="宋体" w:cs="宋体"/>
          <w:sz w:val="21"/>
          <w:szCs w:val="21"/>
          <w:highlight w:val="none"/>
        </w:rPr>
        <w:t>的服务费</w:t>
      </w:r>
      <w:r>
        <w:rPr>
          <w:rFonts w:hint="eastAsia" w:ascii="宋体" w:hAnsi="宋体" w:cs="宋体"/>
          <w:sz w:val="21"/>
          <w:szCs w:val="21"/>
          <w:highlight w:val="none"/>
          <w:lang w:eastAsia="zh-CN"/>
        </w:rPr>
        <w:t>；</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其他：招标人保留对拟中标人考察权利，考察内容及程序按中油集团公司供应商考察规定执行。考察通过后下发《中标通知书》，办理市场准入。。</w:t>
      </w:r>
    </w:p>
    <w:p>
      <w:bookmarkStart w:id="12" w:name="_Toc347086851"/>
      <w:bookmarkStart w:id="13" w:name="_Toc347086985"/>
      <w:bookmarkStart w:id="14" w:name="_Toc347209680"/>
      <w:bookmarkStart w:id="15" w:name="_Toc520895296"/>
      <w:bookmarkStart w:id="16" w:name="_Toc17902423"/>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347209681"/>
      <w:bookmarkStart w:id="18" w:name="_Toc347086852"/>
      <w:bookmarkStart w:id="19" w:name="_Toc347086986"/>
      <w:bookmarkStart w:id="20" w:name="_Toc520895297"/>
      <w:r>
        <w:rPr>
          <w:rFonts w:hint="eastAsia" w:ascii="宋体" w:hAnsi="宋体" w:cs="宋体"/>
          <w:b/>
          <w:bCs/>
          <w:sz w:val="21"/>
          <w:szCs w:val="21"/>
        </w:rPr>
        <w:t>3.1商务资格条件</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436" w:leftChars="198" w:firstLine="4" w:firstLineChars="0"/>
        <w:textAlignment w:val="auto"/>
        <w:outlineLvl w:val="9"/>
        <w:rPr>
          <w:rFonts w:hint="eastAsia" w:ascii="宋体" w:hAnsi="宋体" w:cs="宋体"/>
          <w:color w:val="0000C8"/>
          <w:sz w:val="21"/>
          <w:szCs w:val="21"/>
          <w:highlight w:val="none"/>
        </w:rPr>
      </w:pPr>
      <w:r>
        <w:rPr>
          <w:rFonts w:hint="eastAsia" w:ascii="宋体" w:hAnsi="宋体" w:cs="宋体"/>
          <w:color w:val="0000C8"/>
          <w:sz w:val="21"/>
          <w:szCs w:val="21"/>
          <w:highlight w:val="none"/>
        </w:rPr>
        <w:t>3.1.1投标人须提供合格有效的企业法人营业执照，且经营范围满足本招标项目要求，注册资金不低于200万元人民币的制造商或代理商。（投标人须提供营业执照和国家企业信用信息公示系统经营范围截屏；投标人营业执照登记信息和经营范围须与“国家企业信用信息公示系统”信息一致，评审现场网络查询复核）</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436" w:leftChars="198" w:firstLine="4" w:firstLineChars="0"/>
        <w:textAlignment w:val="auto"/>
        <w:outlineLvl w:val="9"/>
        <w:rPr>
          <w:rFonts w:hint="eastAsia" w:ascii="宋体" w:hAnsi="宋体" w:cs="宋体"/>
          <w:color w:val="0000C8"/>
          <w:sz w:val="21"/>
          <w:szCs w:val="21"/>
          <w:highlight w:val="none"/>
        </w:rPr>
      </w:pPr>
      <w:r>
        <w:rPr>
          <w:rFonts w:hint="eastAsia" w:ascii="宋体" w:hAnsi="宋体" w:cs="宋体"/>
          <w:color w:val="0000C8"/>
          <w:sz w:val="21"/>
          <w:szCs w:val="21"/>
          <w:highlight w:val="none"/>
          <w:lang w:val="en-US" w:eastAsia="zh-CN"/>
        </w:rPr>
        <w:t>3.1.2</w:t>
      </w:r>
      <w:r>
        <w:rPr>
          <w:rFonts w:hint="eastAsia" w:ascii="宋体" w:hAnsi="宋体" w:cs="宋体"/>
          <w:color w:val="0000C8"/>
          <w:sz w:val="21"/>
          <w:szCs w:val="21"/>
          <w:highlight w:val="none"/>
        </w:rPr>
        <w:t>代理商投标提供代理产品生产企业《代理产品授权委托书》。（注：同一品牌的制造商只能授权一家代理商投标，且同一品牌制造商和代理商不能同时参与本项目投标，否则同一品牌的投标人均废标）</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436" w:leftChars="198" w:firstLine="4" w:firstLineChars="0"/>
        <w:textAlignment w:val="auto"/>
        <w:outlineLvl w:val="9"/>
        <w:rPr>
          <w:rFonts w:hint="eastAsia" w:ascii="宋体" w:hAnsi="宋体" w:cs="宋体"/>
          <w:color w:val="0000C8"/>
          <w:sz w:val="21"/>
          <w:szCs w:val="21"/>
          <w:highlight w:val="none"/>
        </w:rPr>
      </w:pPr>
      <w:r>
        <w:rPr>
          <w:rFonts w:hint="eastAsia" w:ascii="宋体" w:hAnsi="宋体" w:cs="宋体"/>
          <w:color w:val="0000C8"/>
          <w:sz w:val="21"/>
          <w:szCs w:val="21"/>
          <w:highlight w:val="none"/>
        </w:rPr>
        <w:t>3.1.</w:t>
      </w:r>
      <w:r>
        <w:rPr>
          <w:rFonts w:hint="eastAsia" w:ascii="宋体" w:hAnsi="宋体" w:cs="宋体"/>
          <w:color w:val="0000C8"/>
          <w:sz w:val="21"/>
          <w:szCs w:val="21"/>
          <w:highlight w:val="none"/>
          <w:lang w:val="en-US" w:eastAsia="zh-CN"/>
        </w:rPr>
        <w:t>3</w:t>
      </w:r>
      <w:r>
        <w:rPr>
          <w:rFonts w:hint="eastAsia" w:ascii="宋体" w:hAnsi="宋体" w:cs="宋体"/>
          <w:color w:val="0000C8"/>
          <w:sz w:val="21"/>
          <w:szCs w:val="21"/>
          <w:highlight w:val="none"/>
        </w:rPr>
        <w:t>投标人须承诺所提供的产品必须附带有合格的《安全技术说明书》和《安全标签》，并《安全技术说明书》和《安全标签》与所提供的产品性质一致。《安全技术说明书》与《安全标签》的编制应严格按照《GB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436" w:leftChars="198" w:firstLine="4" w:firstLineChars="0"/>
        <w:textAlignment w:val="auto"/>
        <w:outlineLvl w:val="9"/>
        <w:rPr>
          <w:rFonts w:hint="eastAsia" w:ascii="宋体" w:hAnsi="宋体" w:cs="宋体"/>
          <w:color w:val="0000C8"/>
          <w:sz w:val="21"/>
          <w:szCs w:val="21"/>
          <w:highlight w:val="none"/>
        </w:rPr>
      </w:pPr>
      <w:r>
        <w:rPr>
          <w:rFonts w:hint="eastAsia" w:ascii="宋体" w:hAnsi="宋体" w:cs="宋体"/>
          <w:color w:val="0000C8"/>
          <w:sz w:val="21"/>
          <w:szCs w:val="21"/>
          <w:highlight w:val="none"/>
        </w:rPr>
        <w:t>3.1.</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提供会计师事务所出具标准的2019年度无保留意见审计报告（附资产负债表），且资产负债率低于100%，当年新成立公司和高等院校，不予提供相关财务信息和审计报告。</w:t>
      </w:r>
    </w:p>
    <w:p>
      <w:pPr>
        <w:keepNext w:val="0"/>
        <w:keepLines w:val="0"/>
        <w:pageBreakBefore w:val="0"/>
        <w:numPr>
          <w:ilvl w:val="0"/>
          <w:numId w:val="0"/>
        </w:numPr>
        <w:kinsoku/>
        <w:wordWrap/>
        <w:overflowPunct w:val="0"/>
        <w:topLinePunct w:val="0"/>
        <w:autoSpaceDE/>
        <w:autoSpaceDN/>
        <w:bidi w:val="0"/>
        <w:adjustRightInd/>
        <w:snapToGrid/>
        <w:spacing w:line="240" w:lineRule="auto"/>
        <w:ind w:left="436" w:leftChars="198" w:firstLine="4" w:firstLineChars="0"/>
        <w:textAlignment w:val="auto"/>
        <w:outlineLvl w:val="9"/>
        <w:rPr>
          <w:rFonts w:hint="eastAsia" w:ascii="宋体" w:hAnsi="宋体" w:cs="宋体"/>
          <w:color w:val="auto"/>
          <w:sz w:val="21"/>
          <w:szCs w:val="21"/>
          <w:highlight w:val="none"/>
        </w:rPr>
      </w:pPr>
      <w:r>
        <w:rPr>
          <w:rFonts w:hint="eastAsia" w:ascii="宋体" w:hAnsi="宋体" w:cs="宋体"/>
          <w:color w:val="0000C8"/>
          <w:sz w:val="21"/>
          <w:szCs w:val="21"/>
          <w:highlight w:val="none"/>
          <w:lang w:val="en-US" w:eastAsia="zh-CN"/>
        </w:rPr>
        <w:t>3.1.5</w:t>
      </w:r>
      <w:r>
        <w:rPr>
          <w:rFonts w:hint="eastAsia" w:ascii="宋体" w:hAnsi="宋体" w:cs="宋体"/>
          <w:color w:val="auto"/>
          <w:sz w:val="21"/>
          <w:szCs w:val="21"/>
          <w:highlight w:val="none"/>
          <w:lang w:val="zh-CN"/>
        </w:rPr>
        <w:t>近三年内</w:t>
      </w:r>
      <w:r>
        <w:rPr>
          <w:rFonts w:hint="eastAsia" w:ascii="宋体" w:hAnsi="宋体" w:cs="宋体"/>
          <w:color w:val="0000C8"/>
          <w:sz w:val="21"/>
          <w:szCs w:val="21"/>
          <w:lang w:eastAsia="zh-CN"/>
        </w:rPr>
        <w:t>（</w:t>
      </w:r>
      <w:r>
        <w:rPr>
          <w:rFonts w:hint="eastAsia" w:ascii="宋体" w:hAnsi="宋体" w:cs="宋体"/>
          <w:color w:val="0000C8"/>
          <w:sz w:val="21"/>
          <w:szCs w:val="21"/>
          <w:lang w:val="en-US" w:eastAsia="zh-CN"/>
        </w:rPr>
        <w:t>2017年1月1日至投标截止时间</w:t>
      </w:r>
      <w:r>
        <w:rPr>
          <w:rFonts w:hint="eastAsia" w:ascii="宋体" w:hAnsi="宋体" w:cs="宋体"/>
          <w:color w:val="0000C8"/>
          <w:sz w:val="21"/>
          <w:szCs w:val="21"/>
          <w:lang w:eastAsia="zh-CN"/>
        </w:rPr>
        <w:t>）</w:t>
      </w:r>
      <w:r>
        <w:rPr>
          <w:rFonts w:hint="eastAsia" w:ascii="宋体" w:hAnsi="宋体" w:cs="宋体"/>
          <w:color w:val="auto"/>
          <w:sz w:val="21"/>
          <w:szCs w:val="21"/>
          <w:highlight w:val="none"/>
          <w:lang w:val="zh-CN"/>
        </w:rPr>
        <w:t>，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w:t>
      </w:r>
      <w:r>
        <w:rPr>
          <w:rFonts w:hint="eastAsia" w:ascii="宋体" w:hAnsi="宋体" w:cs="宋体"/>
          <w:color w:val="auto"/>
          <w:sz w:val="21"/>
          <w:szCs w:val="21"/>
          <w:highlight w:val="none"/>
          <w:lang w:val="zh-CN" w:eastAsia="zh-CN"/>
        </w:rPr>
        <w:t>关于</w:t>
      </w:r>
      <w:r>
        <w:rPr>
          <w:rFonts w:hint="eastAsia" w:ascii="宋体" w:hAnsi="宋体" w:cs="宋体"/>
          <w:color w:val="auto"/>
          <w:sz w:val="21"/>
          <w:szCs w:val="21"/>
          <w:highlight w:val="none"/>
          <w:lang w:val="zh-CN"/>
        </w:rPr>
        <w:t>“行政处罚信息”</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“列入经营异常名录信息”</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“列入严重违法失信企业名单（黑名单）信息”</w:t>
      </w:r>
      <w:r>
        <w:rPr>
          <w:rFonts w:hint="eastAsia" w:ascii="宋体" w:hAnsi="宋体" w:cs="宋体"/>
          <w:color w:val="auto"/>
          <w:sz w:val="21"/>
          <w:szCs w:val="21"/>
          <w:highlight w:val="none"/>
          <w:lang w:val="zh-CN" w:eastAsia="zh-CN"/>
        </w:rPr>
        <w:t>、“企业年报信息”的查询截屏</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zh-CN" w:eastAsia="zh-CN"/>
        </w:rPr>
        <w:t>评审现场网络查询复核</w:t>
      </w:r>
      <w:r>
        <w:rPr>
          <w:rFonts w:hint="eastAsia" w:ascii="宋体" w:hAnsi="宋体" w:cs="宋体"/>
          <w:color w:val="auto"/>
          <w:sz w:val="21"/>
          <w:szCs w:val="21"/>
          <w:highlight w:val="none"/>
          <w:lang w:val="zh-CN"/>
        </w:rPr>
        <w:t>）</w:t>
      </w:r>
    </w:p>
    <w:p>
      <w:pPr>
        <w:spacing w:line="288" w:lineRule="auto"/>
        <w:ind w:left="440" w:leftChars="200"/>
        <w:rPr>
          <w:rFonts w:hint="eastAsia" w:ascii="宋体" w:hAnsi="宋体" w:cs="宋体"/>
          <w:color w:val="auto"/>
          <w:sz w:val="21"/>
          <w:szCs w:val="21"/>
          <w:highlight w:val="none"/>
          <w:lang w:val="zh-CN"/>
        </w:rPr>
      </w:pPr>
      <w:r>
        <w:rPr>
          <w:rFonts w:hint="eastAsia" w:ascii="宋体" w:hAnsi="宋体" w:cs="宋体"/>
          <w:color w:val="0000C8"/>
          <w:sz w:val="21"/>
          <w:szCs w:val="21"/>
          <w:highlight w:val="none"/>
          <w:lang w:val="en-US" w:eastAsia="zh-CN"/>
        </w:rPr>
        <w:t>3.1.6</w:t>
      </w:r>
      <w:r>
        <w:rPr>
          <w:rFonts w:hint="eastAsia" w:ascii="宋体" w:hAnsi="宋体" w:cs="宋体"/>
          <w:color w:val="auto"/>
          <w:sz w:val="21"/>
          <w:szCs w:val="21"/>
          <w:highlight w:val="none"/>
          <w:lang w:val="zh-CN"/>
        </w:rPr>
        <w:t>投标人在“中国执行信息公开网”(http://zxgk.court.gov.cn) 未被列为“失信被执行人”。（投标人</w:t>
      </w:r>
      <w:r>
        <w:rPr>
          <w:rFonts w:hint="eastAsia" w:ascii="宋体" w:hAnsi="宋体" w:cs="宋体"/>
          <w:color w:val="auto"/>
          <w:sz w:val="21"/>
          <w:szCs w:val="21"/>
          <w:highlight w:val="none"/>
          <w:lang w:val="zh-CN" w:eastAsia="zh-CN"/>
        </w:rPr>
        <w:t>须</w:t>
      </w:r>
      <w:r>
        <w:rPr>
          <w:rFonts w:hint="eastAsia" w:ascii="宋体" w:hAnsi="宋体" w:cs="宋体"/>
          <w:color w:val="auto"/>
          <w:sz w:val="21"/>
          <w:szCs w:val="21"/>
          <w:highlight w:val="none"/>
          <w:lang w:val="zh-CN"/>
        </w:rPr>
        <w:t>提“中国执行信息公开网”</w:t>
      </w:r>
      <w:r>
        <w:rPr>
          <w:rFonts w:hint="eastAsia" w:ascii="宋体" w:hAnsi="宋体" w:cs="宋体"/>
          <w:color w:val="auto"/>
          <w:sz w:val="21"/>
          <w:szCs w:val="21"/>
          <w:highlight w:val="none"/>
          <w:lang w:val="zh-CN" w:eastAsia="zh-CN"/>
        </w:rPr>
        <w:t>关于</w:t>
      </w:r>
      <w:r>
        <w:rPr>
          <w:rFonts w:hint="eastAsia" w:ascii="宋体" w:hAnsi="宋体" w:cs="宋体"/>
          <w:color w:val="auto"/>
          <w:sz w:val="21"/>
          <w:szCs w:val="21"/>
          <w:highlight w:val="none"/>
          <w:lang w:val="zh-CN"/>
        </w:rPr>
        <w:t>“失信被执行人”</w:t>
      </w:r>
      <w:r>
        <w:rPr>
          <w:rFonts w:hint="eastAsia" w:ascii="宋体" w:hAnsi="宋体" w:cs="宋体"/>
          <w:color w:val="auto"/>
          <w:sz w:val="21"/>
          <w:szCs w:val="21"/>
          <w:highlight w:val="none"/>
          <w:lang w:val="zh-CN" w:eastAsia="zh-CN"/>
        </w:rPr>
        <w:t>的查询截屏，评审现场网络查询复核</w:t>
      </w:r>
      <w:r>
        <w:rPr>
          <w:rFonts w:hint="eastAsia" w:ascii="宋体" w:hAnsi="宋体" w:cs="宋体"/>
          <w:color w:val="auto"/>
          <w:sz w:val="21"/>
          <w:szCs w:val="21"/>
          <w:highlight w:val="none"/>
          <w:lang w:val="zh-CN"/>
        </w:rPr>
        <w:t>）</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lang w:val="en-US" w:eastAsia="zh-CN"/>
        </w:rPr>
        <w:t>3.1.7</w:t>
      </w:r>
      <w:r>
        <w:rPr>
          <w:rFonts w:hint="eastAsia" w:ascii="宋体" w:hAnsi="宋体" w:cs="宋体"/>
          <w:color w:val="0000C8"/>
          <w:sz w:val="21"/>
          <w:szCs w:val="21"/>
        </w:rPr>
        <w:t>本次招标不接受联合体投标，不允许分包；</w:t>
      </w:r>
    </w:p>
    <w:p>
      <w:pPr>
        <w:spacing w:line="288" w:lineRule="auto"/>
        <w:ind w:left="440" w:leftChars="200"/>
        <w:rPr>
          <w:rFonts w:hint="eastAsia" w:ascii="宋体" w:hAnsi="宋体" w:cs="宋体"/>
          <w:color w:val="auto"/>
          <w:sz w:val="21"/>
          <w:szCs w:val="21"/>
          <w:highlight w:val="none"/>
        </w:rPr>
      </w:pPr>
      <w:r>
        <w:rPr>
          <w:rFonts w:hint="eastAsia" w:ascii="宋体" w:hAnsi="宋体" w:cs="宋体"/>
          <w:color w:val="0000C8"/>
          <w:sz w:val="21"/>
          <w:szCs w:val="21"/>
          <w:highlight w:val="none"/>
          <w:lang w:val="en-US" w:eastAsia="zh-CN"/>
        </w:rPr>
        <w:t>3.1.8</w:t>
      </w:r>
      <w:r>
        <w:rPr>
          <w:rFonts w:hint="eastAsia" w:ascii="宋体" w:hAnsi="宋体" w:cs="宋体"/>
          <w:color w:val="auto"/>
          <w:sz w:val="21"/>
          <w:szCs w:val="21"/>
          <w:highlight w:val="none"/>
        </w:rPr>
        <w:t>没有处于被责令停业，投标资格被取消，财产被接管、冻结，破产状态；（承诺）</w:t>
      </w:r>
    </w:p>
    <w:p>
      <w:pPr>
        <w:spacing w:line="288" w:lineRule="auto"/>
        <w:ind w:left="440" w:leftChars="200"/>
        <w:rPr>
          <w:rFonts w:hint="eastAsia" w:ascii="宋体" w:hAnsi="宋体" w:cs="宋体"/>
          <w:color w:val="auto"/>
          <w:sz w:val="21"/>
          <w:szCs w:val="21"/>
          <w:highlight w:val="none"/>
        </w:rPr>
      </w:pPr>
      <w:r>
        <w:rPr>
          <w:rFonts w:hint="eastAsia" w:ascii="宋体" w:hAnsi="宋体" w:cs="宋体"/>
          <w:color w:val="0000C8"/>
          <w:sz w:val="21"/>
          <w:szCs w:val="21"/>
          <w:highlight w:val="none"/>
          <w:lang w:val="en-US" w:eastAsia="zh-CN"/>
        </w:rPr>
        <w:t>3.1.9</w:t>
      </w:r>
      <w:r>
        <w:rPr>
          <w:rFonts w:hint="eastAsia" w:ascii="宋体" w:hAnsi="宋体" w:cs="宋体"/>
          <w:color w:val="auto"/>
          <w:sz w:val="21"/>
          <w:szCs w:val="21"/>
          <w:highlight w:val="none"/>
        </w:rPr>
        <w:t>单位负责人为同一人或者控股、管理关系的不同单位，不得参加同一标段投标或者未划分标段的同一招标项目投标；（承诺）</w:t>
      </w:r>
    </w:p>
    <w:p>
      <w:pPr>
        <w:spacing w:line="288" w:lineRule="auto"/>
        <w:ind w:left="440" w:leftChars="200"/>
        <w:rPr>
          <w:rFonts w:hint="eastAsia" w:ascii="宋体" w:hAnsi="宋体" w:cs="宋体"/>
          <w:color w:val="auto"/>
          <w:sz w:val="21"/>
          <w:szCs w:val="21"/>
          <w:highlight w:val="none"/>
        </w:rPr>
      </w:pPr>
      <w:r>
        <w:rPr>
          <w:rFonts w:hint="eastAsia" w:ascii="宋体" w:hAnsi="宋体" w:cs="宋体"/>
          <w:color w:val="0000C8"/>
          <w:sz w:val="21"/>
          <w:szCs w:val="21"/>
          <w:highlight w:val="none"/>
          <w:lang w:val="en-US" w:eastAsia="zh-CN"/>
        </w:rPr>
        <w:t>3.1.10</w:t>
      </w:r>
      <w:r>
        <w:rPr>
          <w:rFonts w:hint="eastAsia" w:ascii="宋体" w:hAnsi="宋体" w:cs="宋体"/>
          <w:color w:val="auto"/>
          <w:sz w:val="21"/>
          <w:szCs w:val="21"/>
          <w:highlight w:val="none"/>
        </w:rPr>
        <w:t>近三年</w:t>
      </w:r>
      <w:r>
        <w:rPr>
          <w:rFonts w:hint="eastAsia" w:ascii="宋体" w:hAnsi="宋体" w:cs="宋体"/>
          <w:color w:val="0000C8"/>
          <w:sz w:val="21"/>
          <w:szCs w:val="21"/>
          <w:lang w:eastAsia="zh-CN"/>
        </w:rPr>
        <w:t>（</w:t>
      </w:r>
      <w:r>
        <w:rPr>
          <w:rFonts w:hint="eastAsia" w:ascii="宋体" w:hAnsi="宋体" w:cs="宋体"/>
          <w:color w:val="0000C8"/>
          <w:sz w:val="21"/>
          <w:szCs w:val="21"/>
          <w:lang w:val="en-US" w:eastAsia="zh-CN"/>
        </w:rPr>
        <w:t>2017年1月1日至投标截止时间</w:t>
      </w:r>
      <w:r>
        <w:rPr>
          <w:rFonts w:hint="eastAsia" w:ascii="宋体" w:hAnsi="宋体" w:cs="宋体"/>
          <w:color w:val="0000C8"/>
          <w:sz w:val="21"/>
          <w:szCs w:val="21"/>
          <w:lang w:eastAsia="zh-CN"/>
        </w:rPr>
        <w:t>）</w:t>
      </w:r>
      <w:r>
        <w:rPr>
          <w:rFonts w:hint="eastAsia" w:ascii="宋体" w:hAnsi="宋体" w:cs="宋体"/>
          <w:color w:val="auto"/>
          <w:sz w:val="21"/>
          <w:szCs w:val="21"/>
          <w:highlight w:val="none"/>
        </w:rPr>
        <w:t>，在国家、行业、集团公司以及地方政府质量监督检查中无重大质量问题及事故；（承诺）</w:t>
      </w:r>
    </w:p>
    <w:p>
      <w:pPr>
        <w:spacing w:line="288" w:lineRule="auto"/>
        <w:ind w:left="440" w:leftChars="200"/>
        <w:rPr>
          <w:rFonts w:hint="eastAsia" w:ascii="宋体" w:hAnsi="宋体" w:cs="宋体"/>
          <w:color w:val="auto"/>
          <w:sz w:val="21"/>
          <w:szCs w:val="21"/>
          <w:highlight w:val="none"/>
        </w:rPr>
      </w:pPr>
      <w:r>
        <w:rPr>
          <w:rFonts w:hint="eastAsia" w:ascii="宋体" w:hAnsi="宋体" w:cs="宋体"/>
          <w:color w:val="0000C8"/>
          <w:sz w:val="21"/>
          <w:szCs w:val="21"/>
          <w:highlight w:val="none"/>
          <w:lang w:val="en-US" w:eastAsia="zh-CN"/>
        </w:rPr>
        <w:t>3.1.11</w:t>
      </w:r>
      <w:r>
        <w:rPr>
          <w:rFonts w:hint="eastAsia" w:ascii="宋体" w:hAnsi="宋体" w:cs="宋体"/>
          <w:color w:val="auto"/>
          <w:sz w:val="21"/>
          <w:szCs w:val="21"/>
          <w:highlight w:val="none"/>
        </w:rPr>
        <w:t>与集团公司及所属企业无重大法律纠纷；（承诺）</w:t>
      </w:r>
    </w:p>
    <w:p>
      <w:pPr>
        <w:spacing w:line="288" w:lineRule="auto"/>
        <w:ind w:left="440" w:leftChars="200"/>
        <w:rPr>
          <w:rFonts w:hint="eastAsia" w:ascii="宋体" w:hAnsi="宋体" w:cs="宋体"/>
          <w:color w:val="auto"/>
          <w:sz w:val="21"/>
          <w:szCs w:val="21"/>
          <w:highlight w:val="none"/>
        </w:rPr>
      </w:pPr>
      <w:r>
        <w:rPr>
          <w:rFonts w:hint="eastAsia" w:ascii="宋体" w:hAnsi="宋体" w:cs="宋体"/>
          <w:color w:val="0000C8"/>
          <w:sz w:val="21"/>
          <w:szCs w:val="21"/>
          <w:highlight w:val="none"/>
          <w:lang w:val="en-US" w:eastAsia="zh-CN"/>
        </w:rPr>
        <w:t>3.1.12</w:t>
      </w:r>
      <w:r>
        <w:rPr>
          <w:rFonts w:hint="eastAsia" w:ascii="宋体" w:hAnsi="宋体" w:cs="宋体"/>
          <w:color w:val="auto"/>
          <w:sz w:val="21"/>
          <w:szCs w:val="21"/>
          <w:highlight w:val="none"/>
        </w:rPr>
        <w:t>投标人有良好的商业信誉和健全的财务会计制度；（承诺）</w:t>
      </w:r>
    </w:p>
    <w:p>
      <w:pPr>
        <w:spacing w:line="288" w:lineRule="auto"/>
        <w:ind w:left="440" w:leftChars="200"/>
        <w:rPr>
          <w:rFonts w:hint="eastAsia" w:ascii="宋体" w:hAnsi="宋体" w:cs="宋体"/>
          <w:color w:val="auto"/>
          <w:sz w:val="21"/>
          <w:szCs w:val="21"/>
          <w:highlight w:val="none"/>
        </w:rPr>
      </w:pPr>
      <w:r>
        <w:rPr>
          <w:rFonts w:hint="eastAsia" w:ascii="宋体" w:hAnsi="宋体" w:cs="宋体"/>
          <w:color w:val="0000C8"/>
          <w:sz w:val="21"/>
          <w:szCs w:val="21"/>
          <w:highlight w:val="none"/>
          <w:lang w:val="en-US" w:eastAsia="zh-CN"/>
        </w:rPr>
        <w:t>3.1.13</w:t>
      </w:r>
      <w:r>
        <w:rPr>
          <w:rFonts w:hint="eastAsia" w:ascii="宋体" w:hAnsi="宋体" w:cs="宋体"/>
          <w:color w:val="auto"/>
          <w:sz w:val="21"/>
          <w:szCs w:val="21"/>
          <w:highlight w:val="none"/>
        </w:rPr>
        <w:t>法律、行政法规规定的其他条件；（承诺）</w:t>
      </w:r>
    </w:p>
    <w:p>
      <w:pPr>
        <w:snapToGrid w:val="0"/>
        <w:spacing w:line="288"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left="440" w:leftChars="200"/>
        <w:rPr>
          <w:rFonts w:hint="eastAsia" w:ascii="宋体" w:hAnsi="宋体" w:cs="宋体"/>
          <w:color w:val="auto"/>
          <w:sz w:val="21"/>
          <w:szCs w:val="21"/>
          <w:highlight w:val="none"/>
        </w:rPr>
      </w:pPr>
      <w:r>
        <w:rPr>
          <w:rFonts w:hint="eastAsia" w:ascii="宋体" w:hAnsi="宋体" w:cs="宋体"/>
          <w:color w:val="0000C8"/>
          <w:sz w:val="21"/>
          <w:szCs w:val="21"/>
          <w:highlight w:val="none"/>
        </w:rPr>
        <w:t>3.2.1</w:t>
      </w:r>
      <w:r>
        <w:rPr>
          <w:rFonts w:hint="eastAsia" w:ascii="宋体" w:hAnsi="宋体" w:cs="宋体"/>
          <w:color w:val="auto"/>
          <w:sz w:val="21"/>
          <w:szCs w:val="21"/>
          <w:highlight w:val="none"/>
        </w:rPr>
        <w:t>投标人必须全部满足技术要求*条款，同时对非*条款作出承诺。</w:t>
      </w:r>
    </w:p>
    <w:p>
      <w:pPr>
        <w:rPr>
          <w:rFonts w:hint="eastAsia" w:ascii="Arial" w:hAnsi="Arial" w:eastAsia="黑体"/>
          <w:b/>
          <w:bCs/>
          <w:kern w:val="2"/>
          <w:sz w:val="32"/>
          <w:szCs w:val="32"/>
        </w:rPr>
      </w:pPr>
      <w:bookmarkStart w:id="21" w:name="_Toc17902424"/>
      <w:r>
        <w:rPr>
          <w:rFonts w:hint="eastAsia" w:ascii="Arial" w:hAnsi="Arial" w:eastAsia="黑体"/>
          <w:b/>
          <w:bCs/>
          <w:kern w:val="2"/>
          <w:sz w:val="32"/>
          <w:szCs w:val="32"/>
        </w:rPr>
        <w:t>4.招标文件的获取</w:t>
      </w:r>
      <w:bookmarkEnd w:id="17"/>
      <w:bookmarkEnd w:id="18"/>
      <w:bookmarkEnd w:id="19"/>
      <w:bookmarkEnd w:id="20"/>
      <w:bookmarkEnd w:id="21"/>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凡有意参加投标的潜在投标人，请于北京时间</w:t>
      </w:r>
      <w:r>
        <w:rPr>
          <w:rFonts w:hint="eastAsia" w:ascii="宋体" w:hAnsi="宋体" w:cs="宋体"/>
          <w:color w:val="0000C8"/>
          <w:sz w:val="21"/>
          <w:szCs w:val="21"/>
        </w:rPr>
        <w:t xml:space="preserve">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4</w:t>
      </w:r>
      <w:r>
        <w:rPr>
          <w:rFonts w:hint="eastAsia" w:ascii="宋体" w:hAnsi="宋体" w:cs="宋体"/>
          <w:color w:val="0000C8"/>
          <w:sz w:val="21"/>
          <w:szCs w:val="21"/>
        </w:rPr>
        <w:t>日至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9</w:t>
      </w:r>
      <w:r>
        <w:rPr>
          <w:rFonts w:hint="eastAsia" w:ascii="宋体" w:hAnsi="宋体" w:cs="宋体"/>
          <w:color w:val="0000C8"/>
          <w:sz w:val="21"/>
          <w:szCs w:val="21"/>
        </w:rPr>
        <w:t>日</w:t>
      </w:r>
      <w:r>
        <w:rPr>
          <w:rFonts w:hint="eastAsia" w:ascii="宋体" w:hAnsi="宋体" w:cs="宋体"/>
          <w:sz w:val="21"/>
          <w:szCs w:val="21"/>
        </w:rPr>
        <w:t xml:space="preserve">内完成以下两个步骤：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2" w:name="_Toc310252595"/>
      <w:bookmarkStart w:id="23" w:name="_Toc310252796"/>
      <w:bookmarkStart w:id="24" w:name="_Toc491332587"/>
      <w:bookmarkStart w:id="25" w:name="_Toc520895298"/>
      <w:bookmarkStart w:id="26" w:name="_Toc17902425"/>
      <w:r>
        <w:rPr>
          <w:rFonts w:hint="eastAsia" w:ascii="Arial" w:hAnsi="Arial" w:eastAsia="黑体"/>
          <w:b/>
          <w:bCs/>
          <w:kern w:val="2"/>
          <w:sz w:val="32"/>
          <w:szCs w:val="32"/>
        </w:rPr>
        <w:t>5.投标文件的递交</w:t>
      </w:r>
      <w:bookmarkEnd w:id="22"/>
      <w:bookmarkEnd w:id="23"/>
      <w:bookmarkEnd w:id="24"/>
      <w:bookmarkEnd w:id="25"/>
      <w:bookmarkEnd w:id="26"/>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rPr>
        <w:t>20</w:t>
      </w:r>
      <w:r>
        <w:rPr>
          <w:rFonts w:hint="eastAsia" w:ascii="宋体" w:hAnsi="宋体" w:cs="宋体"/>
          <w:color w:val="0000C8"/>
          <w:kern w:val="2"/>
          <w:sz w:val="21"/>
          <w:szCs w:val="21"/>
          <w:lang w:val="en-US" w:eastAsia="zh-CN"/>
        </w:rPr>
        <w:t>20</w:t>
      </w:r>
      <w:r>
        <w:rPr>
          <w:rFonts w:hint="eastAsia" w:ascii="宋体" w:hAnsi="宋体" w:cs="宋体"/>
          <w:color w:val="0000C8"/>
          <w:kern w:val="2"/>
          <w:sz w:val="21"/>
          <w:szCs w:val="21"/>
        </w:rPr>
        <w:t xml:space="preserve">年 </w:t>
      </w:r>
      <w:r>
        <w:rPr>
          <w:rFonts w:hint="eastAsia" w:ascii="宋体" w:hAnsi="宋体" w:cs="宋体"/>
          <w:color w:val="0000C8"/>
          <w:kern w:val="2"/>
          <w:sz w:val="24"/>
          <w:szCs w:val="24"/>
          <w:lang w:val="en-US" w:eastAsia="zh-CN"/>
        </w:rPr>
        <w:t>8</w:t>
      </w:r>
      <w:r>
        <w:rPr>
          <w:rFonts w:hint="eastAsia" w:ascii="宋体" w:hAnsi="宋体" w:cs="宋体"/>
          <w:color w:val="0000C8"/>
          <w:kern w:val="2"/>
          <w:sz w:val="21"/>
          <w:szCs w:val="21"/>
        </w:rPr>
        <w:t>月</w:t>
      </w:r>
      <w:r>
        <w:rPr>
          <w:rFonts w:hint="eastAsia" w:ascii="宋体" w:hAnsi="宋体" w:cs="宋体"/>
          <w:color w:val="0000C8"/>
          <w:kern w:val="2"/>
          <w:sz w:val="21"/>
          <w:szCs w:val="21"/>
          <w:lang w:val="en-US" w:eastAsia="zh-CN"/>
        </w:rPr>
        <w:t>25</w:t>
      </w:r>
      <w:r>
        <w:rPr>
          <w:rFonts w:hint="eastAsia" w:ascii="宋体" w:hAnsi="宋体" w:cs="宋体"/>
          <w:color w:val="0000C8"/>
          <w:kern w:val="2"/>
          <w:sz w:val="21"/>
          <w:szCs w:val="21"/>
        </w:rPr>
        <w:t>日</w:t>
      </w:r>
      <w:r>
        <w:rPr>
          <w:rFonts w:hint="eastAsia" w:ascii="宋体" w:hAnsi="宋体" w:cs="宋体"/>
          <w:color w:val="0000C8"/>
          <w:kern w:val="2"/>
          <w:sz w:val="21"/>
          <w:szCs w:val="21"/>
          <w:lang w:val="en-US" w:eastAsia="zh-CN"/>
        </w:rPr>
        <w:t>08</w:t>
      </w:r>
      <w:r>
        <w:rPr>
          <w:rFonts w:hint="eastAsia" w:ascii="宋体" w:hAnsi="宋体" w:cs="宋体"/>
          <w:color w:val="0000C8"/>
          <w:kern w:val="2"/>
          <w:sz w:val="21"/>
          <w:szCs w:val="21"/>
        </w:rPr>
        <w:t xml:space="preserve">时 </w:t>
      </w:r>
      <w:r>
        <w:rPr>
          <w:rFonts w:hint="eastAsia" w:ascii="宋体" w:hAnsi="宋体" w:cs="宋体"/>
          <w:color w:val="0000C8"/>
          <w:kern w:val="2"/>
          <w:sz w:val="21"/>
          <w:szCs w:val="21"/>
          <w:lang w:val="en-US" w:eastAsia="zh-CN"/>
        </w:rPr>
        <w:t>30</w:t>
      </w:r>
      <w:r>
        <w:rPr>
          <w:rFonts w:hint="eastAsia" w:ascii="宋体" w:hAnsi="宋体" w:cs="宋体"/>
          <w:color w:val="0000C8"/>
          <w:kern w:val="2"/>
          <w:sz w:val="21"/>
          <w:szCs w:val="21"/>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王先生</w:t>
      </w:r>
    </w:p>
    <w:p>
      <w:pPr>
        <w:spacing w:line="288" w:lineRule="auto"/>
        <w:ind w:firstLine="420" w:firstLineChars="200"/>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21056</w:t>
      </w:r>
    </w:p>
    <w:p>
      <w:pPr>
        <w:spacing w:line="288" w:lineRule="auto"/>
        <w:ind w:firstLine="420" w:firstLineChars="200"/>
        <w:rPr>
          <w:rFonts w:hint="eastAsia" w:ascii="宋体" w:hAnsi="宋体" w:cs="宋体"/>
          <w:bCs/>
          <w:kern w:val="2"/>
          <w:sz w:val="21"/>
          <w:szCs w:val="21"/>
          <w:lang w:val="zh-CN"/>
        </w:rPr>
      </w:pPr>
    </w:p>
    <w:p>
      <w:pPr>
        <w:spacing w:line="288" w:lineRule="auto"/>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联  系  人：徐</w:t>
      </w:r>
      <w:r>
        <w:rPr>
          <w:rFonts w:hint="eastAsia" w:ascii="宋体" w:hAnsi="宋体" w:cs="宋体"/>
          <w:bCs/>
          <w:color w:val="0000C8"/>
          <w:kern w:val="2"/>
          <w:sz w:val="21"/>
          <w:szCs w:val="21"/>
          <w:lang w:val="zh-CN"/>
        </w:rPr>
        <w:t xml:space="preserve">女士 </w:t>
      </w:r>
      <w:r>
        <w:rPr>
          <w:rFonts w:hint="eastAsia" w:ascii="宋体" w:hAnsi="宋体" w:cs="宋体"/>
          <w:bCs/>
          <w:color w:val="0000C8"/>
          <w:kern w:val="2"/>
          <w:sz w:val="21"/>
          <w:szCs w:val="21"/>
          <w:lang w:val="en-US" w:eastAsia="zh-CN"/>
        </w:rPr>
        <w:t>/王先生</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78507</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rPr>
      </w:pPr>
      <w:r>
        <w:rPr>
          <w:rFonts w:hint="eastAsia" w:ascii="宋体" w:hAnsi="宋体" w:cs="宋体"/>
          <w:sz w:val="21"/>
          <w:szCs w:val="21"/>
        </w:rPr>
        <w:t xml:space="preserve">  </w:t>
      </w:r>
      <w:r>
        <w:rPr>
          <w:rFonts w:hint="eastAsia" w:ascii="宋体" w:hAnsi="宋体" w:cs="宋体"/>
          <w:color w:val="0000CC"/>
          <w:sz w:val="21"/>
          <w:szCs w:val="21"/>
        </w:rPr>
        <w:t xml:space="preserve"> </w:t>
      </w:r>
      <w:r>
        <w:rPr>
          <w:rFonts w:hint="eastAsia" w:ascii="宋体" w:hAnsi="宋体" w:cs="宋体"/>
          <w:color w:val="0000C8"/>
          <w:sz w:val="21"/>
          <w:szCs w:val="21"/>
        </w:rPr>
        <w:t>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4</w:t>
      </w:r>
      <w:r>
        <w:rPr>
          <w:rFonts w:hint="eastAsia" w:ascii="宋体" w:hAnsi="宋体" w:cs="宋体"/>
          <w:color w:val="0000C8"/>
          <w:sz w:val="21"/>
          <w:szCs w:val="21"/>
        </w:rPr>
        <w:t>日</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p>
    <w:p>
      <w:pPr>
        <w:spacing w:line="288" w:lineRule="auto"/>
        <w:rPr>
          <w:rFonts w:hint="eastAsia" w:hAnsi="宋体" w:cs="宋体"/>
          <w:szCs w:val="21"/>
        </w:rPr>
      </w:pPr>
      <w:r>
        <w:rPr>
          <w:rFonts w:hint="eastAsia" w:hAnsi="宋体" w:cs="宋体"/>
          <w:szCs w:val="21"/>
        </w:rPr>
        <w:t xml:space="preserve">       </w:t>
      </w:r>
    </w:p>
    <w:p>
      <w:pPr>
        <w:spacing w:line="288" w:lineRule="auto"/>
        <w:rPr>
          <w:rFonts w:hint="eastAsia" w:ascii="宋体" w:hAnsi="宋体" w:cs="宋体"/>
          <w:sz w:val="21"/>
          <w:szCs w:val="21"/>
        </w:rPr>
      </w:pPr>
      <w:r>
        <w:rPr>
          <w:rFonts w:ascii="黑体" w:eastAsia="黑体" w:cs="黑体"/>
          <w:sz w:val="30"/>
          <w:szCs w:val="30"/>
        </w:rPr>
        <w:br w:type="page"/>
      </w: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24302"/>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5"/>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79"/>
        <w:gridCol w:w="2460"/>
        <w:gridCol w:w="792"/>
        <w:gridCol w:w="504"/>
        <w:gridCol w:w="1020"/>
        <w:gridCol w:w="1536"/>
        <w:gridCol w:w="141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83" w:hRule="atLeast"/>
        </w:trPr>
        <w:tc>
          <w:tcPr>
            <w:tcW w:w="379"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序</w:t>
            </w:r>
            <w:r>
              <w:rPr>
                <w:rFonts w:hint="eastAsia" w:ascii="宋体" w:hAnsi="宋体" w:cs="宋体"/>
                <w:b/>
                <w:bCs/>
                <w:color w:val="000000"/>
                <w:sz w:val="21"/>
                <w:szCs w:val="21"/>
              </w:rPr>
              <w:br w:type="textWrapping"/>
            </w:r>
            <w:r>
              <w:rPr>
                <w:rFonts w:hint="eastAsia" w:ascii="宋体" w:hAnsi="宋体" w:cs="宋体"/>
                <w:b/>
                <w:bCs/>
                <w:color w:val="000000"/>
                <w:sz w:val="21"/>
                <w:szCs w:val="21"/>
              </w:rPr>
              <w:t>号</w:t>
            </w:r>
          </w:p>
        </w:tc>
        <w:tc>
          <w:tcPr>
            <w:tcW w:w="246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物料描述</w:t>
            </w:r>
          </w:p>
        </w:tc>
        <w:tc>
          <w:tcPr>
            <w:tcW w:w="792"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数量</w:t>
            </w:r>
          </w:p>
        </w:tc>
        <w:tc>
          <w:tcPr>
            <w:tcW w:w="504" w:type="dxa"/>
            <w:vAlign w:val="center"/>
          </w:tcPr>
          <w:p>
            <w:pPr>
              <w:spacing w:line="288" w:lineRule="auto"/>
              <w:jc w:val="center"/>
              <w:rPr>
                <w:rFonts w:hint="eastAsia" w:ascii="宋体" w:hAnsi="宋体" w:cs="宋体"/>
                <w:sz w:val="21"/>
                <w:szCs w:val="21"/>
              </w:rPr>
            </w:pPr>
            <w:r>
              <w:rPr>
                <w:rFonts w:hint="eastAsia" w:ascii="宋体" w:hAnsi="宋体" w:cs="宋体"/>
                <w:b/>
                <w:bCs/>
                <w:color w:val="000000"/>
                <w:sz w:val="21"/>
                <w:szCs w:val="21"/>
              </w:rPr>
              <w:t>计量单位</w:t>
            </w:r>
          </w:p>
        </w:tc>
        <w:tc>
          <w:tcPr>
            <w:tcW w:w="102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技术要求或</w:t>
            </w:r>
          </w:p>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执行标准</w:t>
            </w:r>
          </w:p>
        </w:tc>
        <w:tc>
          <w:tcPr>
            <w:tcW w:w="1536"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交货时间</w:t>
            </w:r>
          </w:p>
        </w:tc>
        <w:tc>
          <w:tcPr>
            <w:tcW w:w="1416"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交货地点</w:t>
            </w:r>
          </w:p>
        </w:tc>
        <w:tc>
          <w:tcPr>
            <w:tcW w:w="86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9" w:hRule="atLeast"/>
        </w:trPr>
        <w:tc>
          <w:tcPr>
            <w:tcW w:w="379"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1</w:t>
            </w:r>
          </w:p>
        </w:tc>
        <w:tc>
          <w:tcPr>
            <w:tcW w:w="2460" w:type="dxa"/>
            <w:vAlign w:val="center"/>
          </w:tcPr>
          <w:p>
            <w:pPr>
              <w:jc w:val="center"/>
              <w:rPr>
                <w:rFonts w:hint="eastAsia" w:ascii="宋体" w:hAnsi="宋体" w:cs="宋体"/>
                <w:sz w:val="21"/>
                <w:szCs w:val="21"/>
              </w:rPr>
            </w:pPr>
            <w:r>
              <w:rPr>
                <w:rFonts w:hint="eastAsia" w:ascii="宋体" w:hAnsi="宋体" w:cs="宋体"/>
                <w:szCs w:val="21"/>
                <w:lang w:eastAsia="zh-CN"/>
              </w:rPr>
              <w:t>脂肪酸双戊多糖脂生物胶</w:t>
            </w:r>
          </w:p>
        </w:tc>
        <w:tc>
          <w:tcPr>
            <w:tcW w:w="792" w:type="dxa"/>
            <w:vAlign w:val="center"/>
          </w:tcPr>
          <w:p>
            <w:pPr>
              <w:jc w:val="center"/>
              <w:rPr>
                <w:rFonts w:hint="eastAsia" w:ascii="宋体" w:hAnsi="宋体" w:cs="宋体"/>
                <w:sz w:val="21"/>
                <w:szCs w:val="21"/>
              </w:rPr>
            </w:pPr>
            <w:r>
              <w:rPr>
                <w:rFonts w:hint="eastAsia" w:ascii="宋体" w:hAnsi="宋体" w:cs="宋体"/>
                <w:bCs/>
                <w:szCs w:val="21"/>
                <w:lang w:eastAsia="zh-CN"/>
              </w:rPr>
              <w:t>吨</w:t>
            </w:r>
          </w:p>
        </w:tc>
        <w:tc>
          <w:tcPr>
            <w:tcW w:w="504" w:type="dxa"/>
            <w:vAlign w:val="center"/>
          </w:tcPr>
          <w:p>
            <w:pPr>
              <w:spacing w:line="360" w:lineRule="auto"/>
              <w:jc w:val="center"/>
              <w:rPr>
                <w:rFonts w:hint="eastAsia" w:ascii="宋体" w:hAnsi="宋体" w:cs="宋体"/>
                <w:sz w:val="21"/>
                <w:szCs w:val="21"/>
              </w:rPr>
            </w:pPr>
            <w:r>
              <w:rPr>
                <w:rFonts w:hint="eastAsia" w:ascii="宋体" w:hAnsi="宋体"/>
                <w:szCs w:val="21"/>
                <w:lang w:val="en-US" w:eastAsia="zh-CN"/>
              </w:rPr>
              <w:t>1</w:t>
            </w:r>
          </w:p>
        </w:tc>
        <w:tc>
          <w:tcPr>
            <w:tcW w:w="1020" w:type="dxa"/>
            <w:vAlign w:val="center"/>
          </w:tcPr>
          <w:p>
            <w:pPr>
              <w:widowControl/>
              <w:jc w:val="center"/>
              <w:rPr>
                <w:rFonts w:hint="eastAsia" w:ascii="宋体" w:hAnsi="宋体" w:cs="宋体"/>
                <w:b/>
                <w:bCs/>
                <w:color w:val="000000"/>
                <w:sz w:val="21"/>
                <w:szCs w:val="21"/>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36" w:type="dxa"/>
            <w:vAlign w:val="center"/>
          </w:tcPr>
          <w:p>
            <w:pPr>
              <w:widowControl/>
              <w:jc w:val="center"/>
              <w:rPr>
                <w:rFonts w:hint="eastAsia" w:ascii="宋体" w:hAnsi="宋体" w:cs="宋体"/>
                <w:b/>
                <w:bCs/>
                <w:color w:val="000000"/>
                <w:sz w:val="21"/>
                <w:szCs w:val="21"/>
              </w:rPr>
            </w:pPr>
            <w:r>
              <w:rPr>
                <w:rFonts w:hint="eastAsia" w:ascii="宋体" w:hAnsi="宋体" w:cs="宋体"/>
                <w:color w:val="000000"/>
                <w:szCs w:val="21"/>
              </w:rPr>
              <w:t>框架有效期内，按照需求单位电话通知数量，15个工作日内送达指定地点。</w:t>
            </w:r>
          </w:p>
        </w:tc>
        <w:tc>
          <w:tcPr>
            <w:tcW w:w="1416" w:type="dxa"/>
            <w:vAlign w:val="center"/>
          </w:tcPr>
          <w:p>
            <w:pPr>
              <w:widowControl/>
              <w:jc w:val="center"/>
              <w:rPr>
                <w:rFonts w:hint="eastAsia" w:ascii="宋体" w:hAnsi="宋体" w:cs="宋体"/>
                <w:b/>
                <w:bCs/>
                <w:color w:val="000000"/>
                <w:sz w:val="21"/>
                <w:szCs w:val="21"/>
              </w:rPr>
            </w:pPr>
            <w:r>
              <w:rPr>
                <w:rFonts w:hint="eastAsia" w:ascii="宋体" w:hAnsi="宋体" w:cs="宋体"/>
                <w:color w:val="000000"/>
                <w:szCs w:val="21"/>
              </w:rPr>
              <w:t>吉林油田兴业油化公司施工现场</w:t>
            </w:r>
          </w:p>
        </w:tc>
        <w:tc>
          <w:tcPr>
            <w:tcW w:w="860" w:type="dxa"/>
            <w:vAlign w:val="center"/>
          </w:tcPr>
          <w:p>
            <w:pPr>
              <w:widowControl/>
              <w:jc w:val="center"/>
              <w:rPr>
                <w:rFonts w:hint="eastAsia" w:ascii="宋体" w:hAnsi="宋体" w:cs="宋体"/>
                <w:b/>
                <w:bCs/>
                <w:color w:val="000000"/>
                <w:sz w:val="21"/>
                <w:szCs w:val="21"/>
              </w:rPr>
            </w:pPr>
          </w:p>
        </w:tc>
      </w:tr>
    </w:tbl>
    <w:p>
      <w:pPr>
        <w:spacing w:line="288" w:lineRule="auto"/>
        <w:rPr>
          <w:rFonts w:hint="eastAsia"/>
        </w:rPr>
      </w:pPr>
      <w:r>
        <w:rPr>
          <w:rFonts w:hint="eastAsia"/>
          <w:lang w:eastAsia="zh-CN"/>
        </w:rPr>
        <w:t>数量以实际发生为准</w:t>
      </w: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bookmarkStart w:id="33" w:name="_Toc30749"/>
      <w:r>
        <w:rPr>
          <w:rFonts w:hint="eastAsia" w:ascii="黑体" w:hAnsi="宋体" w:eastAsia="黑体"/>
          <w:bCs/>
          <w:kern w:val="2"/>
          <w:sz w:val="28"/>
          <w:szCs w:val="28"/>
        </w:rPr>
        <w:t>附件2：技术要求</w:t>
      </w:r>
      <w:bookmarkEnd w:id="33"/>
    </w:p>
    <w:p>
      <w:pPr>
        <w:pStyle w:val="6"/>
        <w:widowControl/>
        <w:spacing w:before="156" w:beforeLines="50" w:after="156" w:afterLines="50" w:line="240" w:lineRule="auto"/>
        <w:rPr>
          <w:rFonts w:hAnsi="宋体"/>
          <w:bCs/>
          <w:color w:val="000000"/>
          <w:sz w:val="32"/>
          <w:szCs w:val="32"/>
        </w:rPr>
      </w:pPr>
      <w:r>
        <w:rPr>
          <w:rFonts w:hint="eastAsia" w:hAnsi="宋体"/>
          <w:bCs/>
          <w:color w:val="000000"/>
          <w:sz w:val="32"/>
          <w:szCs w:val="32"/>
          <w:lang w:eastAsia="zh-CN"/>
        </w:rPr>
        <w:t>脂肪酸双戊多糖脂生物胶</w:t>
      </w:r>
      <w:r>
        <w:rPr>
          <w:rFonts w:hint="eastAsia" w:hAnsi="宋体"/>
          <w:bCs/>
          <w:color w:val="000000"/>
          <w:sz w:val="32"/>
          <w:szCs w:val="32"/>
        </w:rPr>
        <w:t>采购招标技术规范</w:t>
      </w:r>
    </w:p>
    <w:p>
      <w:pPr>
        <w:pStyle w:val="3"/>
        <w:spacing w:before="156" w:beforeLines="50" w:beforeAutospacing="0" w:after="156" w:afterLines="50" w:afterAutospacing="0"/>
        <w:rPr>
          <w:rFonts w:ascii="黑体" w:hAnsi="宋体"/>
          <w:sz w:val="32"/>
          <w:szCs w:val="32"/>
        </w:rPr>
      </w:pPr>
      <w:r>
        <w:rPr>
          <w:rFonts w:hint="eastAsia" w:ascii="黑体"/>
          <w:bCs/>
          <w:sz w:val="21"/>
          <w:szCs w:val="21"/>
        </w:rPr>
        <w:t>1</w:t>
      </w:r>
      <w:r>
        <w:rPr>
          <w:rFonts w:hint="eastAsia" w:ascii="黑体" w:hAnsi="宋体"/>
          <w:sz w:val="32"/>
          <w:szCs w:val="32"/>
        </w:rPr>
        <w:t xml:space="preserve">  </w:t>
      </w:r>
      <w:r>
        <w:rPr>
          <w:rFonts w:hint="eastAsia" w:ascii="黑体"/>
          <w:bCs/>
          <w:sz w:val="21"/>
          <w:szCs w:val="21"/>
        </w:rPr>
        <w:t>范围</w:t>
      </w:r>
    </w:p>
    <w:p>
      <w:pPr>
        <w:spacing w:line="400" w:lineRule="exact"/>
        <w:ind w:firstLine="440" w:firstLineChars="200"/>
        <w:rPr>
          <w:rFonts w:hint="default" w:ascii="宋体" w:hAnsi="宋体" w:eastAsia="宋体" w:cs="宋体"/>
          <w:szCs w:val="21"/>
          <w:highlight w:val="none"/>
          <w:lang w:val="en-US" w:eastAsia="zh-CN"/>
        </w:rPr>
      </w:pPr>
      <w:r>
        <w:rPr>
          <w:rFonts w:hint="eastAsia" w:ascii="宋体" w:hAnsi="宋体" w:eastAsia="宋体" w:cs="宋体"/>
          <w:color w:val="000000"/>
          <w:szCs w:val="21"/>
        </w:rPr>
        <w:t>1.1</w:t>
      </w:r>
      <w:r>
        <w:rPr>
          <w:rFonts w:hint="eastAsia" w:ascii="宋体" w:hAnsi="宋体" w:eastAsia="宋体" w:cs="宋体"/>
          <w:color w:val="000000"/>
          <w:szCs w:val="21"/>
          <w:highlight w:val="none"/>
        </w:rPr>
        <w:t xml:space="preserve">  </w:t>
      </w:r>
      <w:r>
        <w:rPr>
          <w:rFonts w:hint="eastAsia" w:ascii="宋体" w:hAnsi="宋体" w:eastAsia="宋体" w:cs="宋体"/>
          <w:szCs w:val="21"/>
          <w:highlight w:val="none"/>
        </w:rPr>
        <w:t>本标准适用于</w:t>
      </w:r>
      <w:r>
        <w:rPr>
          <w:rFonts w:hint="eastAsia" w:ascii="宋体" w:hAnsi="宋体" w:eastAsia="宋体" w:cs="宋体"/>
          <w:szCs w:val="21"/>
          <w:highlight w:val="none"/>
          <w:lang w:eastAsia="zh-CN"/>
        </w:rPr>
        <w:t>脂肪酸双戊多糖脂生物胶</w:t>
      </w:r>
      <w:r>
        <w:rPr>
          <w:rFonts w:hint="eastAsia" w:ascii="宋体" w:hAnsi="宋体" w:eastAsia="宋体" w:cs="宋体"/>
          <w:color w:val="000000"/>
          <w:szCs w:val="21"/>
          <w:highlight w:val="none"/>
          <w:lang w:eastAsia="zh-CN"/>
        </w:rPr>
        <w:t>的</w:t>
      </w:r>
      <w:r>
        <w:rPr>
          <w:rFonts w:hint="eastAsia" w:ascii="宋体" w:hAnsi="宋体" w:eastAsia="宋体" w:cs="宋体"/>
          <w:color w:val="auto"/>
        </w:rPr>
        <w:t>物资采购项目招标活动</w:t>
      </w:r>
      <w:r>
        <w:rPr>
          <w:rFonts w:hint="eastAsia" w:ascii="宋体" w:hAnsi="宋体" w:eastAsia="宋体" w:cs="宋体"/>
          <w:szCs w:val="21"/>
          <w:highlight w:val="none"/>
        </w:rPr>
        <w:t>。</w:t>
      </w:r>
    </w:p>
    <w:p>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1.2  本标准规定了</w:t>
      </w:r>
      <w:r>
        <w:rPr>
          <w:rFonts w:hint="eastAsia" w:ascii="宋体" w:hAnsi="宋体" w:eastAsia="宋体" w:cs="宋体"/>
          <w:szCs w:val="21"/>
          <w:lang w:eastAsia="zh-CN"/>
        </w:rPr>
        <w:t>脂肪酸双戊多糖脂生物胶</w:t>
      </w:r>
      <w:r>
        <w:rPr>
          <w:rFonts w:hint="eastAsia" w:ascii="宋体" w:hAnsi="宋体" w:eastAsia="宋体" w:cs="宋体"/>
          <w:szCs w:val="21"/>
        </w:rPr>
        <w:t>的基本技术要求。当本标准与国家法律、行政法规的规定相抵触时，应按国家法律、行政法规的规定执行。</w:t>
      </w:r>
    </w:p>
    <w:p>
      <w:pPr>
        <w:pStyle w:val="3"/>
        <w:spacing w:before="156" w:beforeLines="50" w:beforeAutospacing="0" w:after="156" w:afterLines="50" w:afterAutospacing="0"/>
        <w:rPr>
          <w:rFonts w:ascii="黑体"/>
          <w:bCs/>
          <w:sz w:val="21"/>
          <w:szCs w:val="21"/>
        </w:rPr>
      </w:pPr>
      <w:r>
        <w:rPr>
          <w:rFonts w:hint="eastAsia" w:ascii="黑体"/>
          <w:bCs/>
          <w:sz w:val="21"/>
          <w:szCs w:val="21"/>
        </w:rPr>
        <w:t>2  规范性引用文件</w:t>
      </w:r>
    </w:p>
    <w:p>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下列文件对于本文件的应用是必不可少的。凡是注日期的引用文件，仅注日期的版本适用于本文件。凡是不注日期的引用文件，其最新版本（包括所有的修改单）适用于本文件。</w:t>
      </w:r>
    </w:p>
    <w:p>
      <w:pPr>
        <w:pStyle w:val="3"/>
        <w:keepNext w:val="0"/>
        <w:keepLines w:val="0"/>
        <w:pageBreakBefore w:val="0"/>
        <w:kinsoku/>
        <w:wordWrap/>
        <w:overflowPunct/>
        <w:topLinePunct w:val="0"/>
        <w:autoSpaceDE/>
        <w:autoSpaceDN/>
        <w:bidi w:val="0"/>
        <w:adjustRightInd/>
        <w:snapToGrid/>
        <w:spacing w:before="0" w:beforeLines="0" w:beforeAutospacing="0" w:after="0" w:afterLines="0" w:afterAutospacing="0" w:line="300" w:lineRule="auto"/>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6324.1 有机化工产品试验方法 第1部分：液体有机化工产品水混溶性试验</w:t>
      </w:r>
    </w:p>
    <w:p>
      <w:pPr>
        <w:pStyle w:val="3"/>
        <w:keepNext w:val="0"/>
        <w:keepLines w:val="0"/>
        <w:pageBreakBefore w:val="0"/>
        <w:kinsoku/>
        <w:wordWrap/>
        <w:overflowPunct/>
        <w:topLinePunct w:val="0"/>
        <w:autoSpaceDE/>
        <w:autoSpaceDN/>
        <w:bidi w:val="0"/>
        <w:adjustRightInd/>
        <w:snapToGrid/>
        <w:spacing w:before="0" w:beforeLines="0" w:beforeAutospacing="0" w:after="0" w:afterLines="0" w:afterAutospacing="0" w:line="30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GB 15258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化学品安全标签编写规定</w:t>
      </w:r>
    </w:p>
    <w:p>
      <w:pPr>
        <w:keepNext w:val="0"/>
        <w:keepLines w:val="0"/>
        <w:pageBreakBefore w:val="0"/>
        <w:kinsoku/>
        <w:wordWrap/>
        <w:overflowPunct/>
        <w:topLinePunct w:val="0"/>
        <w:autoSpaceDE/>
        <w:autoSpaceDN/>
        <w:bidi w:val="0"/>
        <w:adjustRightInd/>
        <w:snapToGrid/>
        <w:spacing w:before="0" w:beforeLines="0" w:after="0" w:afterLines="0" w:line="300" w:lineRule="auto"/>
        <w:ind w:left="0" w:leftChars="0" w:right="0" w:rightChars="0" w:firstLine="440" w:firstLineChars="200"/>
        <w:textAlignment w:val="auto"/>
        <w:outlineLvl w:val="9"/>
        <w:rPr>
          <w:rFonts w:hint="eastAsia" w:ascii="宋体" w:hAnsi="宋体" w:eastAsia="宋体" w:cs="宋体"/>
          <w:szCs w:val="21"/>
        </w:rPr>
      </w:pPr>
      <w:r>
        <w:rPr>
          <w:rFonts w:hint="eastAsia" w:ascii="宋体" w:hAnsi="宋体" w:eastAsia="宋体" w:cs="宋体"/>
          <w:szCs w:val="21"/>
        </w:rPr>
        <w:t>GB/T 16483</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化学品安全技术说明书 内容和项目顺序的要求</w:t>
      </w:r>
    </w:p>
    <w:p>
      <w:pPr>
        <w:pStyle w:val="3"/>
        <w:keepNext w:val="0"/>
        <w:keepLines w:val="0"/>
        <w:pageBreakBefore w:val="0"/>
        <w:kinsoku/>
        <w:wordWrap/>
        <w:overflowPunct/>
        <w:topLinePunct w:val="0"/>
        <w:autoSpaceDE/>
        <w:autoSpaceDN/>
        <w:bidi w:val="0"/>
        <w:adjustRightInd/>
        <w:snapToGrid/>
        <w:spacing w:before="0" w:beforeLines="0" w:beforeAutospacing="0" w:after="0" w:afterLines="0" w:afterAutospacing="0" w:line="30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GB/T 17519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化学品安全技术说明书编写指南</w:t>
      </w:r>
    </w:p>
    <w:p>
      <w:pPr>
        <w:pStyle w:val="3"/>
        <w:keepNext w:val="0"/>
        <w:keepLines w:val="0"/>
        <w:pageBreakBefore w:val="0"/>
        <w:kinsoku/>
        <w:wordWrap/>
        <w:overflowPunct/>
        <w:topLinePunct w:val="0"/>
        <w:autoSpaceDE/>
        <w:autoSpaceDN/>
        <w:bidi w:val="0"/>
        <w:adjustRightInd/>
        <w:snapToGrid/>
        <w:spacing w:before="0" w:beforeLines="0" w:beforeAutospacing="0" w:after="0" w:afterLines="0" w:afterAutospacing="0" w:line="300" w:lineRule="auto"/>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Q/SYJL 16045  降粘吞吐驱油剂</w:t>
      </w:r>
    </w:p>
    <w:p>
      <w:pPr>
        <w:keepNext w:val="0"/>
        <w:keepLines w:val="0"/>
        <w:pageBreakBefore w:val="0"/>
        <w:kinsoku/>
        <w:wordWrap/>
        <w:overflowPunct/>
        <w:topLinePunct w:val="0"/>
        <w:autoSpaceDE/>
        <w:autoSpaceDN/>
        <w:bidi w:val="0"/>
        <w:adjustRightInd/>
        <w:snapToGrid/>
        <w:spacing w:before="0" w:beforeLines="0" w:after="0" w:afterLines="0" w:line="300" w:lineRule="auto"/>
        <w:ind w:left="0" w:leftChars="0" w:right="0" w:rightChars="0" w:firstLine="413" w:firstLineChars="197"/>
        <w:textAlignment w:val="auto"/>
        <w:outlineLvl w:val="9"/>
        <w:rPr>
          <w:rFonts w:hint="eastAsia" w:ascii="宋体" w:hAnsi="宋体" w:eastAsia="宋体" w:cs="宋体"/>
          <w:sz w:val="21"/>
          <w:szCs w:val="21"/>
        </w:rPr>
      </w:pPr>
    </w:p>
    <w:p>
      <w:pPr>
        <w:pStyle w:val="3"/>
        <w:spacing w:before="156" w:beforeLines="50" w:beforeAutospacing="0" w:after="156" w:afterLines="50" w:afterAutospacing="0"/>
        <w:rPr>
          <w:rFonts w:hint="eastAsia" w:ascii="宋体" w:hAnsi="宋体" w:cs="宋体"/>
          <w:bCs/>
          <w:sz w:val="21"/>
          <w:szCs w:val="21"/>
        </w:rPr>
      </w:pPr>
      <w:r>
        <w:rPr>
          <w:rFonts w:hint="eastAsia" w:ascii="黑体" w:hAnsi="黑体" w:cs="黑体"/>
          <w:bCs/>
          <w:sz w:val="21"/>
          <w:szCs w:val="21"/>
        </w:rPr>
        <w:t>3  资质要求</w:t>
      </w:r>
    </w:p>
    <w:p>
      <w:pPr>
        <w:pStyle w:val="3"/>
        <w:spacing w:before="156" w:beforeLines="50" w:beforeAutospacing="0" w:after="156" w:afterLines="50" w:afterAutospacing="0"/>
        <w:rPr>
          <w:rFonts w:hint="eastAsia" w:cs="宋体"/>
          <w:color w:val="auto"/>
          <w:szCs w:val="21"/>
          <w:highlight w:val="none"/>
          <w:lang w:val="zh-CN"/>
        </w:rPr>
      </w:pPr>
      <w:r>
        <w:rPr>
          <w:rFonts w:hint="eastAsia" w:cs="宋体"/>
          <w:color w:val="auto"/>
          <w:szCs w:val="21"/>
          <w:highlight w:val="none"/>
          <w:lang w:val="zh-CN"/>
        </w:rPr>
        <w:t>详见招标公告</w:t>
      </w:r>
    </w:p>
    <w:p>
      <w:pPr>
        <w:pStyle w:val="3"/>
        <w:spacing w:before="156" w:beforeLines="50" w:beforeAutospacing="0" w:after="156" w:afterLines="50" w:afterAutospacing="0"/>
        <w:rPr>
          <w:rFonts w:hint="eastAsia" w:ascii="黑体"/>
          <w:bCs/>
          <w:sz w:val="21"/>
          <w:szCs w:val="21"/>
        </w:rPr>
      </w:pPr>
      <w:r>
        <w:rPr>
          <w:rFonts w:hint="eastAsia" w:ascii="黑体"/>
          <w:bCs/>
          <w:sz w:val="21"/>
          <w:szCs w:val="21"/>
          <w:lang w:val="en-US" w:eastAsia="zh-CN"/>
        </w:rPr>
        <w:t>4</w:t>
      </w:r>
      <w:r>
        <w:rPr>
          <w:rFonts w:hint="eastAsia" w:ascii="黑体"/>
          <w:bCs/>
          <w:sz w:val="21"/>
          <w:szCs w:val="21"/>
        </w:rPr>
        <w:t>技术要求</w:t>
      </w:r>
    </w:p>
    <w:p>
      <w:pPr>
        <w:pStyle w:val="3"/>
        <w:spacing w:before="156" w:beforeLines="50" w:beforeAutospacing="0" w:after="156" w:afterLines="50" w:afterAutospacing="0"/>
        <w:ind w:firstLine="420" w:firstLineChars="200"/>
        <w:rPr>
          <w:rFonts w:hint="eastAsia" w:ascii="黑体"/>
          <w:bCs/>
          <w:sz w:val="21"/>
          <w:szCs w:val="21"/>
          <w:lang w:eastAsia="zh-CN"/>
        </w:rPr>
      </w:pPr>
      <w:r>
        <w:rPr>
          <w:rFonts w:hint="eastAsia" w:ascii="黑体"/>
          <w:bCs/>
          <w:sz w:val="21"/>
          <w:szCs w:val="21"/>
          <w:lang w:val="en-US" w:eastAsia="zh-CN"/>
        </w:rPr>
        <w:t>脂肪酸双戊多糖脂生物胶与其他药剂合成的降粘吞吐驱油剂是一种提高油田采收率的活性剂产品，该产品可广泛应用于油田单井化学吞吐、洗井、调驱、解堵等措施</w:t>
      </w:r>
      <w:r>
        <w:rPr>
          <w:rFonts w:hint="eastAsia" w:ascii="黑体"/>
          <w:bCs/>
          <w:sz w:val="21"/>
          <w:szCs w:val="21"/>
          <w:lang w:eastAsia="zh-CN"/>
        </w:rPr>
        <w:t>。</w:t>
      </w:r>
    </w:p>
    <w:p>
      <w:pPr>
        <w:pStyle w:val="3"/>
        <w:spacing w:before="156" w:beforeLines="50" w:beforeAutospacing="0" w:after="156" w:afterLines="50" w:afterAutospacing="0"/>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4.1 技术指标要</w:t>
      </w:r>
    </w:p>
    <w:p>
      <w:pPr>
        <w:pStyle w:val="3"/>
        <w:spacing w:before="156" w:beforeLines="50" w:beforeAutospacing="0" w:after="156" w:afterLines="50" w:afterAutospacing="0"/>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表1</w:t>
      </w:r>
      <w:r>
        <w:rPr>
          <w:rFonts w:hint="eastAsia" w:ascii="黑体" w:eastAsia="宋体"/>
          <w:b/>
          <w:bCs w:val="0"/>
          <w:sz w:val="21"/>
          <w:szCs w:val="21"/>
          <w:lang w:eastAsia="zh-CN"/>
        </w:rPr>
        <w:t>脂肪酸双戊多糖脂生物胶</w:t>
      </w:r>
      <w:r>
        <w:rPr>
          <w:rFonts w:hint="eastAsia" w:ascii="黑体"/>
          <w:b/>
          <w:bCs w:val="0"/>
          <w:sz w:val="21"/>
          <w:szCs w:val="21"/>
          <w:lang w:val="en-US" w:eastAsia="zh-CN"/>
        </w:rPr>
        <w:t>技术要求</w:t>
      </w:r>
    </w:p>
    <w:tbl>
      <w:tblPr>
        <w:tblStyle w:val="5"/>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4390" w:type="dxa"/>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标准名称</w:t>
            </w:r>
          </w:p>
        </w:tc>
        <w:tc>
          <w:tcPr>
            <w:tcW w:w="4390"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eastAsia="宋体" w:cs="宋体"/>
                <w:kern w:val="0"/>
                <w:sz w:val="18"/>
                <w:szCs w:val="18"/>
                <w:lang w:val="en-US" w:eastAsia="zh-CN"/>
              </w:rPr>
            </w:pPr>
            <w:r>
              <w:rPr>
                <w:rFonts w:hint="eastAsia" w:ascii="宋体" w:hAnsi="宋体" w:eastAsia="宋体" w:cs="宋体"/>
                <w:sz w:val="18"/>
                <w:szCs w:val="18"/>
              </w:rPr>
              <w:t>外观</w:t>
            </w:r>
          </w:p>
        </w:tc>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eastAsia="宋体" w:cs="宋体"/>
                <w:kern w:val="0"/>
                <w:sz w:val="18"/>
                <w:szCs w:val="18"/>
                <w:lang w:val="en-US" w:eastAsia="zh-CN"/>
              </w:rPr>
            </w:pPr>
            <w:r>
              <w:rPr>
                <w:rFonts w:hint="eastAsia" w:ascii="宋体" w:hAnsi="宋体" w:eastAsia="宋体" w:cs="宋体"/>
                <w:sz w:val="18"/>
                <w:szCs w:val="18"/>
              </w:rPr>
              <w:t>自由流动液体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eastAsia="宋体" w:cs="宋体"/>
                <w:kern w:val="0"/>
                <w:sz w:val="18"/>
                <w:szCs w:val="18"/>
                <w:lang w:val="en-US" w:eastAsia="zh-CN"/>
              </w:rPr>
            </w:pPr>
            <w:r>
              <w:rPr>
                <w:rFonts w:hint="eastAsia" w:ascii="宋体" w:hAnsi="宋体" w:eastAsia="宋体" w:cs="宋体"/>
                <w:sz w:val="18"/>
                <w:szCs w:val="18"/>
              </w:rPr>
              <w:t>密度,g/cm</w:t>
            </w:r>
            <w:r>
              <w:rPr>
                <w:rFonts w:hint="eastAsia" w:ascii="宋体" w:hAnsi="宋体" w:eastAsia="宋体" w:cs="宋体"/>
                <w:sz w:val="18"/>
                <w:szCs w:val="18"/>
                <w:vertAlign w:val="superscript"/>
              </w:rPr>
              <w:t>3</w:t>
            </w:r>
          </w:p>
        </w:tc>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eastAsia="宋体" w:cs="宋体"/>
                <w:kern w:val="0"/>
                <w:sz w:val="18"/>
                <w:szCs w:val="18"/>
                <w:lang w:val="en-US" w:eastAsia="zh-CN"/>
              </w:rPr>
            </w:pPr>
            <w:r>
              <w:rPr>
                <w:rFonts w:hint="eastAsia" w:ascii="宋体" w:hAnsi="宋体" w:eastAsia="宋体" w:cs="宋体"/>
                <w:sz w:val="18"/>
                <w:szCs w:val="18"/>
              </w:rPr>
              <w:t>0.98～1.10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eastAsia="宋体" w:cs="宋体"/>
                <w:kern w:val="0"/>
                <w:sz w:val="18"/>
                <w:szCs w:val="18"/>
              </w:rPr>
            </w:pPr>
            <w:r>
              <w:rPr>
                <w:rFonts w:hint="eastAsia" w:ascii="宋体" w:hAnsi="宋体" w:eastAsia="宋体" w:cs="宋体"/>
                <w:sz w:val="18"/>
                <w:szCs w:val="18"/>
              </w:rPr>
              <w:t>溶解性</w:t>
            </w:r>
          </w:p>
        </w:tc>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eastAsia="宋体" w:cs="宋体"/>
                <w:kern w:val="0"/>
                <w:sz w:val="18"/>
                <w:szCs w:val="18"/>
              </w:rPr>
            </w:pPr>
            <w:r>
              <w:rPr>
                <w:rFonts w:hint="eastAsia" w:ascii="宋体" w:hAnsi="宋体" w:eastAsia="宋体" w:cs="宋体"/>
                <w:sz w:val="18"/>
                <w:szCs w:val="18"/>
              </w:rPr>
              <w:t>易溶于水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390" w:type="dxa"/>
            <w:vAlign w:val="top"/>
          </w:tcPr>
          <w:p>
            <w:pPr>
              <w:pStyle w:val="2"/>
              <w:tabs>
                <w:tab w:val="left" w:pos="8280"/>
                <w:tab w:val="left" w:pos="9000"/>
              </w:tabs>
              <w:spacing w:line="440" w:lineRule="atLeast"/>
              <w:ind w:left="0" w:leftChars="0" w:firstLine="0" w:firstLineChars="0"/>
              <w:jc w:val="center"/>
              <w:rPr>
                <w:rFonts w:hint="eastAsia"/>
                <w:sz w:val="18"/>
                <w:szCs w:val="18"/>
              </w:rPr>
            </w:pPr>
            <w:r>
              <w:rPr>
                <w:rFonts w:hint="eastAsia" w:ascii="宋体" w:hAnsi="宋体" w:cs="宋体"/>
                <w:sz w:val="18"/>
                <w:szCs w:val="18"/>
                <w:lang w:val="en-US" w:eastAsia="zh-CN"/>
              </w:rPr>
              <w:t>固体</w:t>
            </w:r>
            <w:r>
              <w:rPr>
                <w:rFonts w:hint="eastAsia" w:ascii="宋体" w:hAnsi="宋体" w:eastAsia="宋体" w:cs="宋体"/>
                <w:sz w:val="18"/>
                <w:szCs w:val="18"/>
              </w:rPr>
              <w:t xml:space="preserve">含量, % </w:t>
            </w:r>
          </w:p>
        </w:tc>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sz w:val="18"/>
                <w:szCs w:val="18"/>
              </w:rPr>
            </w:pPr>
            <w:r>
              <w:rPr>
                <w:rFonts w:hint="eastAsia" w:ascii="宋体" w:hAnsi="宋体" w:eastAsia="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390" w:type="dxa"/>
            <w:vAlign w:val="top"/>
          </w:tcPr>
          <w:p>
            <w:pPr>
              <w:pStyle w:val="2"/>
              <w:tabs>
                <w:tab w:val="left" w:pos="8280"/>
                <w:tab w:val="left" w:pos="9000"/>
              </w:tabs>
              <w:spacing w:line="440" w:lineRule="atLeast"/>
              <w:ind w:left="0" w:leftChars="0" w:firstLine="0" w:firstLineChars="0"/>
              <w:jc w:val="center"/>
              <w:rPr>
                <w:rFonts w:hint="eastAsia"/>
                <w:sz w:val="18"/>
                <w:szCs w:val="18"/>
              </w:rPr>
            </w:pPr>
            <w:r>
              <w:rPr>
                <w:rFonts w:hint="eastAsia" w:ascii="宋体" w:hAnsi="宋体" w:eastAsia="宋体" w:cs="宋体"/>
                <w:sz w:val="18"/>
                <w:szCs w:val="18"/>
              </w:rPr>
              <w:t>氨基酸含量 %</w:t>
            </w:r>
          </w:p>
        </w:tc>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sz w:val="18"/>
                <w:szCs w:val="18"/>
              </w:rPr>
            </w:pPr>
            <w:r>
              <w:rPr>
                <w:rFonts w:hint="eastAsia" w:ascii="宋体" w:hAnsi="宋体" w:eastAsia="宋体" w:cs="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390" w:type="dxa"/>
            <w:vAlign w:val="top"/>
          </w:tcPr>
          <w:p>
            <w:pPr>
              <w:pStyle w:val="2"/>
              <w:tabs>
                <w:tab w:val="left" w:pos="8280"/>
                <w:tab w:val="left" w:pos="9000"/>
              </w:tabs>
              <w:spacing w:line="440" w:lineRule="atLeast"/>
              <w:ind w:left="0" w:leftChars="0" w:firstLine="0" w:firstLineChars="0"/>
              <w:jc w:val="center"/>
              <w:rPr>
                <w:rFonts w:hint="eastAsia"/>
                <w:sz w:val="18"/>
                <w:szCs w:val="18"/>
              </w:rPr>
            </w:pPr>
            <w:r>
              <w:rPr>
                <w:rFonts w:hint="eastAsia" w:ascii="宋体" w:hAnsi="宋体" w:eastAsia="宋体" w:cs="宋体"/>
                <w:sz w:val="18"/>
                <w:szCs w:val="18"/>
              </w:rPr>
              <w:t>糖基含量 %</w:t>
            </w:r>
          </w:p>
        </w:tc>
        <w:tc>
          <w:tcPr>
            <w:tcW w:w="4390" w:type="dxa"/>
            <w:vAlign w:val="top"/>
          </w:tcPr>
          <w:p>
            <w:pPr>
              <w:pStyle w:val="2"/>
              <w:tabs>
                <w:tab w:val="left" w:pos="8280"/>
                <w:tab w:val="left" w:pos="9000"/>
              </w:tabs>
              <w:spacing w:line="440" w:lineRule="atLeast"/>
              <w:ind w:left="0" w:leftChars="0" w:firstLine="0" w:firstLineChars="0"/>
              <w:jc w:val="center"/>
              <w:rPr>
                <w:rFonts w:hint="eastAsia" w:ascii="宋体" w:hAnsi="宋体"/>
                <w:sz w:val="18"/>
                <w:szCs w:val="18"/>
              </w:rPr>
            </w:pPr>
            <w:r>
              <w:rPr>
                <w:rFonts w:hint="eastAsia" w:ascii="宋体" w:hAnsi="宋体" w:eastAsia="宋体" w:cs="宋体"/>
                <w:sz w:val="18"/>
                <w:szCs w:val="18"/>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w:t>
      </w:r>
      <w:r>
        <w:rPr>
          <w:rFonts w:hint="eastAsia" w:ascii="宋体" w:hAnsi="宋体" w:eastAsia="宋体" w:cs="宋体"/>
          <w:bCs/>
          <w:szCs w:val="21"/>
        </w:rPr>
        <w:t xml:space="preserve">试验方法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 xml:space="preserve">4.2.1 </w:t>
      </w:r>
      <w:r>
        <w:rPr>
          <w:rFonts w:hint="eastAsia" w:ascii="宋体" w:hAnsi="宋体" w:eastAsia="宋体" w:cs="宋体"/>
          <w:bCs/>
          <w:szCs w:val="21"/>
        </w:rPr>
        <w:t>仪器和设备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eastAsia="zh-CN"/>
        </w:rPr>
      </w:pPr>
      <w:r>
        <w:rPr>
          <w:rFonts w:hint="eastAsia" w:ascii="宋体" w:hAnsi="宋体" w:eastAsia="宋体" w:cs="宋体"/>
          <w:bCs/>
          <w:szCs w:val="21"/>
        </w:rPr>
        <w:t>a.恒温干燥箱: 控温精度±2℃</w:t>
      </w:r>
      <w:r>
        <w:rPr>
          <w:rFonts w:hint="eastAsia" w:ascii="宋体" w:hAnsi="宋体" w:eastAsia="宋体" w:cs="宋体"/>
          <w:bCs/>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eastAsia="zh-CN"/>
        </w:rPr>
      </w:pPr>
      <w:r>
        <w:rPr>
          <w:rFonts w:hint="eastAsia" w:ascii="宋体" w:hAnsi="宋体" w:eastAsia="宋体" w:cs="宋体"/>
          <w:bCs/>
          <w:szCs w:val="21"/>
        </w:rPr>
        <w:t>b.分析天平: 感量为0.0001g</w:t>
      </w:r>
      <w:r>
        <w:rPr>
          <w:rFonts w:hint="eastAsia" w:ascii="宋体" w:hAnsi="宋体" w:eastAsia="宋体" w:cs="宋体"/>
          <w:bCs/>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4.2.2</w:t>
      </w:r>
      <w:r>
        <w:rPr>
          <w:rFonts w:hint="eastAsia" w:ascii="宋体" w:hAnsi="宋体" w:eastAsia="宋体" w:cs="宋体"/>
          <w:bCs/>
          <w:szCs w:val="21"/>
        </w:rPr>
        <w:t>外观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取50m</w:t>
      </w:r>
      <w:r>
        <w:rPr>
          <w:rFonts w:hint="eastAsia" w:ascii="宋体" w:hAnsi="宋体" w:eastAsia="宋体" w:cs="宋体"/>
          <w:bCs/>
          <w:szCs w:val="21"/>
          <w:lang w:val="en-US" w:eastAsia="zh-CN"/>
        </w:rPr>
        <w:t>L</w:t>
      </w:r>
      <w:r>
        <w:rPr>
          <w:rFonts w:hint="eastAsia" w:ascii="宋体" w:hAnsi="宋体" w:eastAsia="宋体" w:cs="宋体"/>
          <w:bCs/>
          <w:szCs w:val="21"/>
        </w:rPr>
        <w:t>本品放入50m</w:t>
      </w:r>
      <w:r>
        <w:rPr>
          <w:rFonts w:hint="eastAsia" w:ascii="宋体" w:hAnsi="宋体" w:eastAsia="宋体" w:cs="宋体"/>
          <w:bCs/>
          <w:szCs w:val="21"/>
          <w:lang w:val="en-US" w:eastAsia="zh-CN"/>
        </w:rPr>
        <w:t>L</w:t>
      </w:r>
      <w:r>
        <w:rPr>
          <w:rFonts w:hint="eastAsia" w:ascii="宋体" w:hAnsi="宋体" w:eastAsia="宋体" w:cs="宋体"/>
          <w:bCs/>
          <w:szCs w:val="21"/>
        </w:rPr>
        <w:t>比色管中，在自然光下目测。</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4.2.3</w:t>
      </w:r>
      <w:r>
        <w:rPr>
          <w:rFonts w:hint="eastAsia" w:ascii="宋体" w:hAnsi="宋体" w:eastAsia="宋体" w:cs="宋体"/>
          <w:bCs/>
          <w:szCs w:val="21"/>
        </w:rPr>
        <w:t>溶解性</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按GB</w:t>
      </w:r>
      <w:r>
        <w:rPr>
          <w:rFonts w:hint="eastAsia" w:ascii="宋体" w:hAnsi="宋体" w:eastAsia="宋体" w:cs="宋体"/>
          <w:bCs/>
          <w:szCs w:val="21"/>
          <w:lang w:val="en-US" w:eastAsia="zh-CN"/>
        </w:rPr>
        <w:t xml:space="preserve"> </w:t>
      </w:r>
      <w:r>
        <w:rPr>
          <w:rFonts w:hint="eastAsia" w:ascii="宋体" w:hAnsi="宋体" w:eastAsia="宋体" w:cs="宋体"/>
          <w:bCs/>
          <w:szCs w:val="21"/>
        </w:rPr>
        <w:t>6324的规定执行。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4.2.4</w:t>
      </w:r>
      <w:r>
        <w:rPr>
          <w:rFonts w:hint="eastAsia" w:ascii="宋体" w:hAnsi="宋体" w:eastAsia="宋体" w:cs="宋体"/>
          <w:bCs/>
          <w:szCs w:val="21"/>
        </w:rPr>
        <w:t>密度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将样品到入250mL量筒中用玻璃式密度计测定该产品的密度。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4.2.5固体</w:t>
      </w:r>
      <w:r>
        <w:rPr>
          <w:rFonts w:hint="eastAsia" w:ascii="宋体" w:hAnsi="宋体" w:eastAsia="宋体" w:cs="宋体"/>
          <w:bCs/>
          <w:szCs w:val="21"/>
        </w:rPr>
        <w:t>含量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固体含量测定在这里采用重量法。取一定量的</w:t>
      </w:r>
      <w:r>
        <w:rPr>
          <w:rFonts w:hint="eastAsia" w:ascii="宋体" w:hAnsi="宋体" w:eastAsia="宋体" w:cs="宋体"/>
          <w:bCs/>
          <w:szCs w:val="21"/>
        </w:rPr>
        <w:t>脂肪酸双戊多糖脂生物胶</w:t>
      </w:r>
      <w:r>
        <w:rPr>
          <w:rFonts w:hint="eastAsia" w:ascii="宋体" w:hAnsi="宋体" w:eastAsia="宋体" w:cs="宋体"/>
          <w:bCs/>
          <w:szCs w:val="21"/>
          <w:lang w:val="en-US" w:eastAsia="zh-CN"/>
        </w:rPr>
        <w:t>在105度下恒温至恒重，然</w:t>
      </w:r>
      <w:r>
        <w:rPr>
          <w:rFonts w:hint="eastAsia" w:ascii="宋体" w:hAnsi="宋体" w:eastAsia="宋体" w:cs="宋体"/>
          <w:bCs/>
          <w:szCs w:val="21"/>
        </w:rPr>
        <w:t>后称量，计算</w:t>
      </w:r>
      <w:r>
        <w:rPr>
          <w:rFonts w:hint="eastAsia" w:ascii="宋体" w:hAnsi="宋体" w:eastAsia="宋体" w:cs="宋体"/>
          <w:bCs/>
          <w:szCs w:val="21"/>
          <w:lang w:val="en-US" w:eastAsia="zh-CN"/>
        </w:rPr>
        <w:t>固体</w:t>
      </w:r>
      <w:r>
        <w:rPr>
          <w:rFonts w:hint="eastAsia" w:ascii="宋体" w:hAnsi="宋体" w:eastAsia="宋体" w:cs="宋体"/>
          <w:bCs/>
          <w:szCs w:val="21"/>
        </w:rPr>
        <w:t>含量。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4.2.6</w:t>
      </w:r>
      <w:r>
        <w:rPr>
          <w:rFonts w:hint="eastAsia" w:ascii="宋体" w:hAnsi="宋体" w:eastAsia="宋体" w:cs="宋体"/>
          <w:bCs/>
          <w:szCs w:val="21"/>
        </w:rPr>
        <w:t>氨基酸含量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4.2.6.1 原理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茚三酮在碱性条件下可以与氨基酸反应，反应后溶液呈蓝紫色或黄色，可用吸收光光度法测定。生成的蓝紫色或者黄色化合物颜色深浅与氨基酸含量成正比，其最大吸收波长分别为570 nm或者350nm，故据此可用测定样品中的氨基酸含量。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 xml:space="preserve">4.2.6.2 </w:t>
      </w:r>
      <w:r>
        <w:rPr>
          <w:rFonts w:hint="eastAsia" w:ascii="宋体" w:hAnsi="宋体" w:eastAsia="宋体" w:cs="宋体"/>
          <w:bCs/>
          <w:szCs w:val="21"/>
        </w:rPr>
        <w:t>实验器材及试剂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a.</w:t>
      </w:r>
      <w:r>
        <w:rPr>
          <w:rFonts w:hint="eastAsia" w:ascii="宋体" w:hAnsi="宋体" w:eastAsia="宋体" w:cs="宋体"/>
          <w:bCs/>
          <w:szCs w:val="21"/>
        </w:rPr>
        <w:t>可调试移液器或移液管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b.</w:t>
      </w:r>
      <w:r>
        <w:rPr>
          <w:rFonts w:hint="eastAsia" w:ascii="宋体" w:hAnsi="宋体" w:eastAsia="宋体" w:cs="宋体"/>
          <w:bCs/>
          <w:szCs w:val="21"/>
        </w:rPr>
        <w:t>可见分光光度计（723型）</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c.</w:t>
      </w:r>
      <w:r>
        <w:rPr>
          <w:rFonts w:hint="eastAsia" w:ascii="宋体" w:hAnsi="宋体" w:eastAsia="宋体" w:cs="宋体"/>
          <w:bCs/>
          <w:szCs w:val="21"/>
        </w:rPr>
        <w:t>电子分析天平</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d.</w:t>
      </w:r>
      <w:r>
        <w:rPr>
          <w:rFonts w:hint="eastAsia" w:ascii="宋体" w:hAnsi="宋体" w:eastAsia="宋体" w:cs="宋体"/>
          <w:bCs/>
          <w:szCs w:val="21"/>
        </w:rPr>
        <w:t>水浴锅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e.</w:t>
      </w:r>
      <w:r>
        <w:rPr>
          <w:rFonts w:hint="eastAsia" w:ascii="宋体" w:hAnsi="宋体" w:eastAsia="宋体" w:cs="宋体"/>
          <w:bCs/>
          <w:szCs w:val="21"/>
        </w:rPr>
        <w:t>电炉子</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f.</w:t>
      </w:r>
      <w:r>
        <w:rPr>
          <w:rFonts w:hint="eastAsia" w:ascii="宋体" w:hAnsi="宋体" w:eastAsia="宋体" w:cs="宋体"/>
          <w:bCs/>
          <w:szCs w:val="21"/>
        </w:rPr>
        <w:t>1.2%茚三酮试剂：取1g茚三酮溶解到35m</w:t>
      </w:r>
      <w:r>
        <w:rPr>
          <w:rFonts w:hint="eastAsia" w:ascii="宋体" w:hAnsi="宋体" w:eastAsia="宋体" w:cs="宋体"/>
          <w:bCs/>
          <w:szCs w:val="21"/>
          <w:lang w:val="en-US" w:eastAsia="zh-CN"/>
        </w:rPr>
        <w:t>L</w:t>
      </w:r>
      <w:r>
        <w:rPr>
          <w:rFonts w:hint="eastAsia" w:ascii="宋体" w:hAnsi="宋体" w:eastAsia="宋体" w:cs="宋体"/>
          <w:bCs/>
          <w:szCs w:val="21"/>
        </w:rPr>
        <w:t>热水中，加入40mg氯化亚锡，搅拌过滤(此处作为防腐剂，视情况可不加)。滤液置冷暗处过夜，加水至总体积50m</w:t>
      </w:r>
      <w:r>
        <w:rPr>
          <w:rFonts w:hint="eastAsia" w:ascii="宋体" w:hAnsi="宋体" w:eastAsia="宋体" w:cs="宋体"/>
          <w:bCs/>
          <w:szCs w:val="21"/>
          <w:lang w:val="en-US" w:eastAsia="zh-CN"/>
        </w:rPr>
        <w:t>L</w:t>
      </w:r>
      <w:r>
        <w:rPr>
          <w:rFonts w:hint="eastAsia" w:ascii="宋体" w:hAnsi="宋体" w:eastAsia="宋体" w:cs="宋体"/>
          <w:bCs/>
          <w:szCs w:val="21"/>
        </w:rPr>
        <w:t>，摇匀配用。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g.p</w:t>
      </w:r>
      <w:r>
        <w:rPr>
          <w:rFonts w:hint="eastAsia" w:ascii="宋体" w:hAnsi="宋体" w:eastAsia="宋体" w:cs="宋体"/>
          <w:bCs/>
          <w:szCs w:val="21"/>
        </w:rPr>
        <w:t>h 8.04的磷酸缓冲液</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I: 准确称取磷酸二氢钾4.535g于烧杯中，用少量蒸馏水溶解定容到500m</w:t>
      </w:r>
      <w:r>
        <w:rPr>
          <w:rFonts w:hint="eastAsia" w:ascii="宋体" w:hAnsi="宋体" w:eastAsia="宋体" w:cs="宋体"/>
          <w:bCs/>
          <w:szCs w:val="21"/>
          <w:lang w:val="en-US" w:eastAsia="zh-CN"/>
        </w:rPr>
        <w:t>L</w:t>
      </w:r>
      <w:r>
        <w:rPr>
          <w:rFonts w:hint="eastAsia" w:ascii="宋体" w:hAnsi="宋体" w:eastAsia="宋体" w:cs="宋体"/>
          <w:bCs/>
          <w:szCs w:val="21"/>
        </w:rPr>
        <w:t>摇匀。</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II：准确称取磷酸氢二钠11.938g于烧杯中，用少量蒸馏水溶解定容到500m</w:t>
      </w:r>
      <w:r>
        <w:rPr>
          <w:rFonts w:hint="eastAsia" w:ascii="宋体" w:hAnsi="宋体" w:eastAsia="宋体" w:cs="宋体"/>
          <w:bCs/>
          <w:szCs w:val="21"/>
          <w:lang w:val="en-US" w:eastAsia="zh-CN"/>
        </w:rPr>
        <w:t>L</w:t>
      </w:r>
      <w:r>
        <w:rPr>
          <w:rFonts w:hint="eastAsia" w:ascii="宋体" w:hAnsi="宋体" w:eastAsia="宋体" w:cs="宋体"/>
          <w:bCs/>
          <w:szCs w:val="21"/>
        </w:rPr>
        <w:t>摇匀。</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III: 取上述配好的磷酸二氢钾10m</w:t>
      </w:r>
      <w:r>
        <w:rPr>
          <w:rFonts w:hint="eastAsia" w:ascii="宋体" w:hAnsi="宋体" w:eastAsia="宋体" w:cs="宋体"/>
          <w:bCs/>
          <w:szCs w:val="21"/>
          <w:lang w:val="en-US" w:eastAsia="zh-CN"/>
        </w:rPr>
        <w:t>L</w:t>
      </w:r>
      <w:r>
        <w:rPr>
          <w:rFonts w:hint="eastAsia" w:ascii="宋体" w:hAnsi="宋体" w:eastAsia="宋体" w:cs="宋体"/>
          <w:bCs/>
          <w:szCs w:val="21"/>
        </w:rPr>
        <w:t>和190m</w:t>
      </w:r>
      <w:r>
        <w:rPr>
          <w:rFonts w:hint="eastAsia" w:ascii="宋体" w:hAnsi="宋体" w:eastAsia="宋体" w:cs="宋体"/>
          <w:bCs/>
          <w:szCs w:val="21"/>
          <w:lang w:val="en-US" w:eastAsia="zh-CN"/>
        </w:rPr>
        <w:t>L</w:t>
      </w:r>
      <w:r>
        <w:rPr>
          <w:rFonts w:hint="eastAsia" w:ascii="宋体" w:hAnsi="宋体" w:eastAsia="宋体" w:cs="宋体"/>
          <w:bCs/>
          <w:szCs w:val="21"/>
        </w:rPr>
        <w:t>磷酸氢二钠溶液混合即可调制出ph=8.04的缓冲溶液</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h.</w:t>
      </w:r>
      <w:r>
        <w:rPr>
          <w:rFonts w:hint="eastAsia" w:ascii="宋体" w:hAnsi="宋体" w:eastAsia="宋体" w:cs="宋体"/>
          <w:bCs/>
          <w:szCs w:val="21"/>
        </w:rPr>
        <w:t>氨基酸标准溶液：准备称取干燥后的氨基酸0.2g与烧杯中，先加少量水溶解，然后定容到100m</w:t>
      </w:r>
      <w:r>
        <w:rPr>
          <w:rFonts w:hint="eastAsia" w:ascii="宋体" w:hAnsi="宋体" w:eastAsia="宋体" w:cs="宋体"/>
          <w:bCs/>
          <w:szCs w:val="21"/>
          <w:lang w:val="en-US" w:eastAsia="zh-CN"/>
        </w:rPr>
        <w:t>L</w:t>
      </w:r>
      <w:r>
        <w:rPr>
          <w:rFonts w:hint="eastAsia" w:ascii="宋体" w:hAnsi="宋体" w:eastAsia="宋体" w:cs="宋体"/>
          <w:bCs/>
          <w:szCs w:val="21"/>
        </w:rPr>
        <w:t>，摇均匀，即为200ug/m</w:t>
      </w:r>
      <w:r>
        <w:rPr>
          <w:rFonts w:hint="eastAsia" w:ascii="宋体" w:hAnsi="宋体" w:eastAsia="宋体" w:cs="宋体"/>
          <w:bCs/>
          <w:szCs w:val="21"/>
          <w:lang w:val="en-US" w:eastAsia="zh-CN"/>
        </w:rPr>
        <w:t>L</w:t>
      </w:r>
      <w:r>
        <w:rPr>
          <w:rFonts w:hint="eastAsia" w:ascii="宋体" w:hAnsi="宋体" w:eastAsia="宋体" w:cs="宋体"/>
          <w:bCs/>
          <w:szCs w:val="21"/>
        </w:rPr>
        <w:t>氨基酸标准溶液。</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4.2.6.3 测定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4.2.6.3.1</w:t>
      </w:r>
      <w:r>
        <w:rPr>
          <w:rFonts w:hint="eastAsia" w:ascii="宋体" w:hAnsi="宋体" w:eastAsia="宋体" w:cs="宋体"/>
          <w:bCs/>
          <w:szCs w:val="21"/>
        </w:rPr>
        <w:t>制作标准曲线</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准确吸取氨基酸标准溶液0.5、1.0、1.5、2.0、2.5、3.0m</w:t>
      </w:r>
      <w:r>
        <w:rPr>
          <w:rFonts w:hint="eastAsia" w:ascii="宋体" w:hAnsi="宋体" w:eastAsia="宋体" w:cs="宋体"/>
          <w:bCs/>
          <w:szCs w:val="21"/>
          <w:lang w:val="en-US" w:eastAsia="zh-CN"/>
        </w:rPr>
        <w:t>L</w:t>
      </w:r>
      <w:r>
        <w:rPr>
          <w:rFonts w:hint="eastAsia" w:ascii="宋体" w:hAnsi="宋体" w:eastAsia="宋体" w:cs="宋体"/>
          <w:bCs/>
          <w:szCs w:val="21"/>
        </w:rPr>
        <w:t>(相当于100、200、300、400、500、600ug氨基酸)，分别置于25m</w:t>
      </w:r>
      <w:r>
        <w:rPr>
          <w:rFonts w:hint="eastAsia" w:ascii="宋体" w:hAnsi="宋体" w:eastAsia="宋体" w:cs="宋体"/>
          <w:bCs/>
          <w:szCs w:val="21"/>
          <w:lang w:val="en-US" w:eastAsia="zh-CN"/>
        </w:rPr>
        <w:t>L</w:t>
      </w:r>
      <w:r>
        <w:rPr>
          <w:rFonts w:hint="eastAsia" w:ascii="宋体" w:hAnsi="宋体" w:eastAsia="宋体" w:cs="宋体"/>
          <w:bCs/>
          <w:szCs w:val="21"/>
        </w:rPr>
        <w:t>容量瓶或者比色管中，各加水补充至容积为4.0m</w:t>
      </w:r>
      <w:r>
        <w:rPr>
          <w:rFonts w:hint="eastAsia" w:ascii="宋体" w:hAnsi="宋体" w:eastAsia="宋体" w:cs="宋体"/>
          <w:bCs/>
          <w:szCs w:val="21"/>
          <w:lang w:val="en-US" w:eastAsia="zh-CN"/>
        </w:rPr>
        <w:t>L</w:t>
      </w:r>
      <w:r>
        <w:rPr>
          <w:rFonts w:hint="eastAsia" w:ascii="宋体" w:hAnsi="宋体" w:eastAsia="宋体" w:cs="宋体"/>
          <w:bCs/>
          <w:szCs w:val="21"/>
        </w:rPr>
        <w:t>，然后加入茚三酮溶液和磷酸盐缓冲溶液各1.0m</w:t>
      </w:r>
      <w:r>
        <w:rPr>
          <w:rFonts w:hint="eastAsia" w:ascii="宋体" w:hAnsi="宋体" w:eastAsia="宋体" w:cs="宋体"/>
          <w:bCs/>
          <w:szCs w:val="21"/>
          <w:lang w:val="en-US" w:eastAsia="zh-CN"/>
        </w:rPr>
        <w:t>L</w:t>
      </w:r>
      <w:r>
        <w:rPr>
          <w:rFonts w:hint="eastAsia" w:ascii="宋体" w:hAnsi="宋体" w:eastAsia="宋体" w:cs="宋体"/>
          <w:bCs/>
          <w:szCs w:val="21"/>
        </w:rPr>
        <w:t>混合均匀于90度热水中加热至显色恒定为止(一般加热过程至少需要30min)，然后取出迅速冷至室温后15min，若生成蓝色化合物，在570nm波长下，以试剂空白为残币测定各溶液的吸光度A；若生成黄色化合物，则在350nm波长下，以试剂空白为参比测量各溶液吸光度A。以氨基酸的微克数为横坐标，吸光度A为纵坐标，绘制标准曲线。</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4.2.6.3.2样品含量的测定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样品液的测定：称取脂肪酸双戊多糖脂生物胶试样原液4m</w:t>
      </w:r>
      <w:r>
        <w:rPr>
          <w:rFonts w:hint="eastAsia" w:ascii="宋体" w:hAnsi="宋体" w:eastAsia="宋体" w:cs="宋体"/>
          <w:bCs/>
          <w:szCs w:val="21"/>
          <w:lang w:val="en-US" w:eastAsia="zh-CN"/>
        </w:rPr>
        <w:t>L</w:t>
      </w:r>
      <w:r>
        <w:rPr>
          <w:rFonts w:hint="eastAsia" w:ascii="宋体" w:hAnsi="宋体" w:eastAsia="宋体" w:cs="宋体"/>
          <w:bCs/>
          <w:szCs w:val="21"/>
        </w:rPr>
        <w:t>，按照标准曲线制作的步骤，在相同条件下测定吸光度A值，测得的A值在标准曲线上可查到相对应的氨基酸微克数，从而计算出样品中的氨基酸含量。若测试时，合成的蓝色化合物很多，引起反应后颜色很深，可以适当对原液进行稀释一定倍数，通常可选50或者100倍。</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4.2.7</w:t>
      </w:r>
      <w:r>
        <w:rPr>
          <w:rFonts w:hint="eastAsia" w:ascii="宋体" w:hAnsi="宋体" w:eastAsia="宋体" w:cs="宋体"/>
          <w:bCs/>
          <w:szCs w:val="21"/>
        </w:rPr>
        <w:t>糖基测试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4.2.7.1 原理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蒽酮可以与已糖基、戊糖 基及已糖醛酸起反应，反应后溶液呈蓝绿色，在620nm处有最大吸收。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4.2.7.2 实验器材及试剂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a.</w:t>
      </w:r>
      <w:r>
        <w:rPr>
          <w:rFonts w:hint="eastAsia" w:ascii="宋体" w:hAnsi="宋体" w:eastAsia="宋体" w:cs="宋体"/>
          <w:bCs/>
          <w:szCs w:val="21"/>
        </w:rPr>
        <w:t>可调试移液器或移液管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b.</w:t>
      </w:r>
      <w:r>
        <w:rPr>
          <w:rFonts w:hint="eastAsia" w:ascii="宋体" w:hAnsi="宋体" w:eastAsia="宋体" w:cs="宋体"/>
          <w:bCs/>
          <w:szCs w:val="21"/>
        </w:rPr>
        <w:t>可见分光光度计（723型）</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c.</w:t>
      </w:r>
      <w:r>
        <w:rPr>
          <w:rFonts w:hint="eastAsia" w:ascii="宋体" w:hAnsi="宋体" w:eastAsia="宋体" w:cs="宋体"/>
          <w:bCs/>
          <w:szCs w:val="21"/>
        </w:rPr>
        <w:t>分析天平：感量为0.0001g；水浴锅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d.</w:t>
      </w:r>
      <w:r>
        <w:rPr>
          <w:rFonts w:hint="eastAsia" w:ascii="宋体" w:hAnsi="宋体" w:eastAsia="宋体" w:cs="宋体"/>
          <w:bCs/>
          <w:szCs w:val="21"/>
        </w:rPr>
        <w:t>蒽酮试剂：取2.0000g蒽酮溶解到80%H2SO4中，以80%H2SO4定容到1000m</w:t>
      </w:r>
      <w:r>
        <w:rPr>
          <w:rFonts w:hint="eastAsia" w:ascii="宋体" w:hAnsi="宋体" w:eastAsia="宋体" w:cs="宋体"/>
          <w:bCs/>
          <w:szCs w:val="21"/>
          <w:lang w:val="en-US" w:eastAsia="zh-CN"/>
        </w:rPr>
        <w:t>L</w:t>
      </w:r>
      <w:r>
        <w:rPr>
          <w:rFonts w:hint="eastAsia" w:ascii="宋体" w:hAnsi="宋体" w:eastAsia="宋体" w:cs="宋体"/>
          <w:bCs/>
          <w:szCs w:val="21"/>
        </w:rPr>
        <w:t>，当日配制使用。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e.</w:t>
      </w:r>
      <w:r>
        <w:rPr>
          <w:rFonts w:hint="eastAsia" w:ascii="宋体" w:hAnsi="宋体" w:eastAsia="宋体" w:cs="宋体"/>
          <w:bCs/>
          <w:szCs w:val="21"/>
        </w:rPr>
        <w:t>标准葡萄糖溶液（100mg/L）：100mg葡萄糖溶解到蒸馏水中，定容到1000m</w:t>
      </w:r>
      <w:r>
        <w:rPr>
          <w:rFonts w:hint="eastAsia" w:ascii="宋体" w:hAnsi="宋体" w:eastAsia="宋体" w:cs="宋体"/>
          <w:bCs/>
          <w:szCs w:val="21"/>
          <w:lang w:val="en-US" w:eastAsia="zh-CN"/>
        </w:rPr>
        <w:t>L</w:t>
      </w:r>
      <w:r>
        <w:rPr>
          <w:rFonts w:hint="eastAsia" w:ascii="宋体" w:hAnsi="宋体" w:eastAsia="宋体" w:cs="宋体"/>
          <w:bCs/>
          <w:szCs w:val="21"/>
        </w:rPr>
        <w:t>备用。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4.2.7.3 测定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4.2.7.3.</w:t>
      </w:r>
      <w:r>
        <w:rPr>
          <w:rFonts w:hint="eastAsia" w:ascii="宋体" w:hAnsi="宋体" w:eastAsia="宋体" w:cs="宋体"/>
          <w:bCs/>
          <w:szCs w:val="21"/>
        </w:rPr>
        <w:t>1制作标准曲线</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取7支干燥洁净的100m</w:t>
      </w:r>
      <w:r>
        <w:rPr>
          <w:rFonts w:hint="eastAsia" w:ascii="宋体" w:hAnsi="宋体" w:eastAsia="宋体" w:cs="宋体"/>
          <w:bCs/>
          <w:szCs w:val="21"/>
          <w:lang w:val="en-US" w:eastAsia="zh-CN"/>
        </w:rPr>
        <w:t>L</w:t>
      </w:r>
      <w:r>
        <w:rPr>
          <w:rFonts w:hint="eastAsia" w:ascii="宋体" w:hAnsi="宋体" w:eastAsia="宋体" w:cs="宋体"/>
          <w:bCs/>
          <w:szCs w:val="21"/>
        </w:rPr>
        <w:t>试管，取上述葡萄糖的标准溶液10m</w:t>
      </w:r>
      <w:r>
        <w:rPr>
          <w:rFonts w:hint="eastAsia" w:ascii="宋体" w:hAnsi="宋体" w:eastAsia="宋体" w:cs="宋体"/>
          <w:bCs/>
          <w:szCs w:val="21"/>
          <w:lang w:val="en-US" w:eastAsia="zh-CN"/>
        </w:rPr>
        <w:t>L</w:t>
      </w:r>
      <w:r>
        <w:rPr>
          <w:rFonts w:hint="eastAsia" w:ascii="宋体" w:hAnsi="宋体" w:eastAsia="宋体" w:cs="宋体"/>
          <w:bCs/>
          <w:szCs w:val="21"/>
        </w:rPr>
        <w:t>、20m</w:t>
      </w:r>
      <w:r>
        <w:rPr>
          <w:rFonts w:hint="eastAsia" w:ascii="宋体" w:hAnsi="宋体" w:eastAsia="宋体" w:cs="宋体"/>
          <w:bCs/>
          <w:szCs w:val="21"/>
          <w:lang w:val="en-US" w:eastAsia="zh-CN"/>
        </w:rPr>
        <w:t>L</w:t>
      </w:r>
      <w:r>
        <w:rPr>
          <w:rFonts w:hint="eastAsia" w:ascii="宋体" w:hAnsi="宋体" w:eastAsia="宋体" w:cs="宋体"/>
          <w:bCs/>
          <w:szCs w:val="21"/>
        </w:rPr>
        <w:t>、30m</w:t>
      </w:r>
      <w:r>
        <w:rPr>
          <w:rFonts w:hint="eastAsia" w:ascii="宋体" w:hAnsi="宋体" w:eastAsia="宋体" w:cs="宋体"/>
          <w:bCs/>
          <w:szCs w:val="21"/>
          <w:lang w:val="en-US" w:eastAsia="zh-CN"/>
        </w:rPr>
        <w:t>L</w:t>
      </w:r>
      <w:r>
        <w:rPr>
          <w:rFonts w:hint="eastAsia" w:ascii="宋体" w:hAnsi="宋体" w:eastAsia="宋体" w:cs="宋体"/>
          <w:bCs/>
          <w:szCs w:val="21"/>
        </w:rPr>
        <w:t>、40m</w:t>
      </w:r>
      <w:r>
        <w:rPr>
          <w:rFonts w:hint="eastAsia" w:ascii="宋体" w:hAnsi="宋体" w:eastAsia="宋体" w:cs="宋体"/>
          <w:bCs/>
          <w:szCs w:val="21"/>
          <w:lang w:val="en-US" w:eastAsia="zh-CN"/>
        </w:rPr>
        <w:t>L</w:t>
      </w:r>
      <w:r>
        <w:rPr>
          <w:rFonts w:hint="eastAsia" w:ascii="宋体" w:hAnsi="宋体" w:eastAsia="宋体" w:cs="宋体"/>
          <w:bCs/>
          <w:szCs w:val="21"/>
        </w:rPr>
        <w:t>、50m</w:t>
      </w:r>
      <w:r>
        <w:rPr>
          <w:rFonts w:hint="eastAsia" w:ascii="宋体" w:hAnsi="宋体" w:eastAsia="宋体" w:cs="宋体"/>
          <w:bCs/>
          <w:szCs w:val="21"/>
          <w:lang w:val="en-US" w:eastAsia="zh-CN"/>
        </w:rPr>
        <w:t>L</w:t>
      </w:r>
      <w:r>
        <w:rPr>
          <w:rFonts w:hint="eastAsia" w:ascii="宋体" w:hAnsi="宋体" w:eastAsia="宋体" w:cs="宋体"/>
          <w:bCs/>
          <w:szCs w:val="21"/>
        </w:rPr>
        <w:t>、60m</w:t>
      </w:r>
      <w:r>
        <w:rPr>
          <w:rFonts w:hint="eastAsia" w:ascii="宋体" w:hAnsi="宋体" w:eastAsia="宋体" w:cs="宋体"/>
          <w:bCs/>
          <w:szCs w:val="21"/>
          <w:lang w:val="en-US" w:eastAsia="zh-CN"/>
        </w:rPr>
        <w:t>L</w:t>
      </w:r>
      <w:r>
        <w:rPr>
          <w:rFonts w:hint="eastAsia" w:ascii="宋体" w:hAnsi="宋体" w:eastAsia="宋体" w:cs="宋体"/>
          <w:bCs/>
          <w:szCs w:val="21"/>
        </w:rPr>
        <w:t>、70m</w:t>
      </w:r>
      <w:r>
        <w:rPr>
          <w:rFonts w:hint="eastAsia" w:ascii="宋体" w:hAnsi="宋体" w:eastAsia="宋体" w:cs="宋体"/>
          <w:bCs/>
          <w:szCs w:val="21"/>
          <w:lang w:val="en-US" w:eastAsia="zh-CN"/>
        </w:rPr>
        <w:t>L</w:t>
      </w:r>
      <w:r>
        <w:rPr>
          <w:rFonts w:hint="eastAsia" w:ascii="宋体" w:hAnsi="宋体" w:eastAsia="宋体" w:cs="宋体"/>
          <w:bCs/>
          <w:szCs w:val="21"/>
        </w:rPr>
        <w:t>、80m</w:t>
      </w:r>
      <w:r>
        <w:rPr>
          <w:rFonts w:hint="eastAsia" w:ascii="宋体" w:hAnsi="宋体" w:eastAsia="宋体" w:cs="宋体"/>
          <w:bCs/>
          <w:szCs w:val="21"/>
          <w:lang w:val="en-US" w:eastAsia="zh-CN"/>
        </w:rPr>
        <w:t>L</w:t>
      </w:r>
      <w:r>
        <w:rPr>
          <w:rFonts w:hint="eastAsia" w:ascii="宋体" w:hAnsi="宋体" w:eastAsia="宋体" w:cs="宋体"/>
          <w:bCs/>
          <w:szCs w:val="21"/>
        </w:rPr>
        <w:t>、90m</w:t>
      </w:r>
      <w:r>
        <w:rPr>
          <w:rFonts w:hint="eastAsia" w:ascii="宋体" w:hAnsi="宋体" w:eastAsia="宋体" w:cs="宋体"/>
          <w:bCs/>
          <w:szCs w:val="21"/>
          <w:lang w:val="en-US" w:eastAsia="zh-CN"/>
        </w:rPr>
        <w:t>L</w:t>
      </w:r>
      <w:r>
        <w:rPr>
          <w:rFonts w:hint="eastAsia" w:ascii="宋体" w:hAnsi="宋体" w:eastAsia="宋体" w:cs="宋体"/>
          <w:bCs/>
          <w:szCs w:val="21"/>
        </w:rPr>
        <w:t>顺序加入试管中，然后定容到100m</w:t>
      </w:r>
      <w:r>
        <w:rPr>
          <w:rFonts w:hint="eastAsia" w:ascii="宋体" w:hAnsi="宋体" w:eastAsia="宋体" w:cs="宋体"/>
          <w:bCs/>
          <w:szCs w:val="21"/>
          <w:lang w:val="en-US" w:eastAsia="zh-CN"/>
        </w:rPr>
        <w:t>L</w:t>
      </w:r>
      <w:r>
        <w:rPr>
          <w:rFonts w:hint="eastAsia" w:ascii="宋体" w:hAnsi="宋体" w:eastAsia="宋体" w:cs="宋体"/>
          <w:bCs/>
          <w:szCs w:val="21"/>
        </w:rPr>
        <w:t>，制备稀释的标准溶液。取上述稀释后的各不同浓度的标准溶液1m</w:t>
      </w:r>
      <w:r>
        <w:rPr>
          <w:rFonts w:hint="eastAsia" w:ascii="宋体" w:hAnsi="宋体" w:eastAsia="宋体" w:cs="宋体"/>
          <w:bCs/>
          <w:szCs w:val="21"/>
          <w:lang w:val="en-US" w:eastAsia="zh-CN"/>
        </w:rPr>
        <w:t>L</w:t>
      </w:r>
      <w:r>
        <w:rPr>
          <w:rFonts w:hint="eastAsia" w:ascii="宋体" w:hAnsi="宋体" w:eastAsia="宋体" w:cs="宋体"/>
          <w:bCs/>
          <w:szCs w:val="21"/>
        </w:rPr>
        <w:t>，加入到50m</w:t>
      </w:r>
      <w:r>
        <w:rPr>
          <w:rFonts w:hint="eastAsia" w:ascii="宋体" w:hAnsi="宋体" w:eastAsia="宋体" w:cs="宋体"/>
          <w:bCs/>
          <w:szCs w:val="21"/>
          <w:lang w:val="en-US" w:eastAsia="zh-CN"/>
        </w:rPr>
        <w:t>L</w:t>
      </w:r>
      <w:r>
        <w:rPr>
          <w:rFonts w:hint="eastAsia" w:ascii="宋体" w:hAnsi="宋体" w:eastAsia="宋体" w:cs="宋体"/>
          <w:bCs/>
          <w:szCs w:val="21"/>
        </w:rPr>
        <w:t>的干净试管中，然后快速加入蒽酮硫酸溶液4m</w:t>
      </w:r>
      <w:r>
        <w:rPr>
          <w:rFonts w:hint="eastAsia" w:ascii="宋体" w:hAnsi="宋体" w:eastAsia="宋体" w:cs="宋体"/>
          <w:bCs/>
          <w:szCs w:val="21"/>
          <w:lang w:val="en-US" w:eastAsia="zh-CN"/>
        </w:rPr>
        <w:t>L</w:t>
      </w:r>
      <w:r>
        <w:rPr>
          <w:rFonts w:hint="eastAsia" w:ascii="宋体" w:hAnsi="宋体" w:eastAsia="宋体" w:cs="宋体"/>
          <w:bCs/>
          <w:szCs w:val="21"/>
        </w:rPr>
        <w:t>，进行沸水浴中准确煮沸10min，取出用流水冷却进行测定于620nm下的吸光度。以吸光度值为纵坐标，各标准溶液浓度（mg/m</w:t>
      </w:r>
      <w:r>
        <w:rPr>
          <w:rFonts w:hint="eastAsia" w:ascii="宋体" w:hAnsi="宋体" w:eastAsia="宋体" w:cs="宋体"/>
          <w:bCs/>
          <w:szCs w:val="21"/>
          <w:lang w:val="en-US" w:eastAsia="zh-CN"/>
        </w:rPr>
        <w:t>L</w:t>
      </w:r>
      <w:r>
        <w:rPr>
          <w:rFonts w:hint="eastAsia" w:ascii="宋体" w:hAnsi="宋体" w:eastAsia="宋体" w:cs="宋体"/>
          <w:bCs/>
          <w:szCs w:val="21"/>
        </w:rPr>
        <w:t>）为横坐标作图得标准曲线。</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Cs w:val="21"/>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4.2.7.3.</w:t>
      </w:r>
      <w:r>
        <w:rPr>
          <w:rFonts w:hint="eastAsia" w:ascii="宋体" w:hAnsi="宋体" w:eastAsia="宋体" w:cs="宋体"/>
          <w:bCs/>
          <w:szCs w:val="21"/>
        </w:rPr>
        <w:t>2样品含量的测定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4.2.7.3.2.1</w:t>
      </w:r>
      <w:r>
        <w:rPr>
          <w:rFonts w:hint="eastAsia" w:ascii="宋体" w:hAnsi="宋体" w:eastAsia="宋体" w:cs="宋体"/>
          <w:bCs/>
          <w:szCs w:val="21"/>
        </w:rPr>
        <w:t>样品液的制作：精确称取样品1g置于锥形瓶中，定容到100m</w:t>
      </w:r>
      <w:r>
        <w:rPr>
          <w:rFonts w:hint="eastAsia" w:ascii="宋体" w:hAnsi="宋体" w:eastAsia="宋体" w:cs="宋体"/>
          <w:bCs/>
          <w:szCs w:val="21"/>
          <w:lang w:val="en-US" w:eastAsia="zh-CN"/>
        </w:rPr>
        <w:t>L</w:t>
      </w:r>
      <w:r>
        <w:rPr>
          <w:rFonts w:hint="eastAsia" w:ascii="宋体" w:hAnsi="宋体" w:eastAsia="宋体" w:cs="宋体"/>
          <w:bCs/>
          <w:szCs w:val="21"/>
        </w:rPr>
        <w:t>的锥形瓶中备用。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4.2.7.3.2.2</w:t>
      </w:r>
      <w:r>
        <w:rPr>
          <w:rFonts w:hint="eastAsia" w:ascii="宋体" w:hAnsi="宋体" w:eastAsia="宋体" w:cs="宋体"/>
          <w:bCs/>
          <w:szCs w:val="21"/>
        </w:rPr>
        <w:t>样品液的测定：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（1）取2支50m</w:t>
      </w:r>
      <w:r>
        <w:rPr>
          <w:rFonts w:hint="eastAsia" w:ascii="宋体" w:hAnsi="宋体" w:eastAsia="宋体" w:cs="宋体"/>
          <w:bCs/>
          <w:szCs w:val="21"/>
          <w:lang w:val="en-US" w:eastAsia="zh-CN"/>
        </w:rPr>
        <w:t>L</w:t>
      </w:r>
      <w:r>
        <w:rPr>
          <w:rFonts w:hint="eastAsia" w:ascii="宋体" w:hAnsi="宋体" w:eastAsia="宋体" w:cs="宋体"/>
          <w:bCs/>
          <w:szCs w:val="21"/>
        </w:rPr>
        <w:t>的试管，准确吸取1m</w:t>
      </w:r>
      <w:r>
        <w:rPr>
          <w:rFonts w:hint="eastAsia" w:ascii="宋体" w:hAnsi="宋体" w:eastAsia="宋体" w:cs="宋体"/>
          <w:bCs/>
          <w:szCs w:val="21"/>
          <w:lang w:val="en-US" w:eastAsia="zh-CN"/>
        </w:rPr>
        <w:t>L</w:t>
      </w:r>
      <w:r>
        <w:rPr>
          <w:rFonts w:hint="eastAsia" w:ascii="宋体" w:hAnsi="宋体" w:eastAsia="宋体" w:cs="宋体"/>
          <w:bCs/>
          <w:szCs w:val="21"/>
        </w:rPr>
        <w:t>的样品溶液和1m</w:t>
      </w:r>
      <w:r>
        <w:rPr>
          <w:rFonts w:hint="eastAsia" w:ascii="宋体" w:hAnsi="宋体" w:eastAsia="宋体" w:cs="宋体"/>
          <w:bCs/>
          <w:szCs w:val="21"/>
          <w:lang w:val="en-US" w:eastAsia="zh-CN"/>
        </w:rPr>
        <w:t>L</w:t>
      </w:r>
      <w:r>
        <w:rPr>
          <w:rFonts w:hint="eastAsia" w:ascii="宋体" w:hAnsi="宋体" w:eastAsia="宋体" w:cs="宋体"/>
          <w:bCs/>
          <w:szCs w:val="21"/>
        </w:rPr>
        <w:t>超净水分别加入到试管中，快速将入蒽酮硫酸溶液4m</w:t>
      </w:r>
      <w:r>
        <w:rPr>
          <w:rFonts w:hint="eastAsia" w:ascii="宋体" w:hAnsi="宋体" w:eastAsia="宋体" w:cs="宋体"/>
          <w:bCs/>
          <w:szCs w:val="21"/>
          <w:lang w:val="en-US" w:eastAsia="zh-CN"/>
        </w:rPr>
        <w:t>L</w:t>
      </w:r>
      <w:r>
        <w:rPr>
          <w:rFonts w:hint="eastAsia" w:ascii="宋体" w:hAnsi="宋体" w:eastAsia="宋体" w:cs="宋体"/>
          <w:bCs/>
          <w:szCs w:val="21"/>
        </w:rPr>
        <w:t xml:space="preserve">，将试管浸泡在冰浴中1min。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（2）后置沸水中煮沸15min，取出流水冷却放置10min，620nm处比色测量各管OD值。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（3）以超净水试管测量值为空白，测量样品的OD值取，从标准曲线上查出样品液相应的含糖量。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4.2.7.3.3结果计算：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w = C×M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式中w：糖的质量分数（%）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C：从标准曲线中查出的糖质量分数（mg/L）</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M：样品稀释倍数</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 xml:space="preserve">4.3 </w:t>
      </w:r>
      <w:r>
        <w:rPr>
          <w:rFonts w:hint="eastAsia" w:ascii="宋体" w:hAnsi="宋体" w:eastAsia="宋体" w:cs="宋体"/>
          <w:bCs/>
          <w:szCs w:val="21"/>
        </w:rPr>
        <w:t>配伍性要求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szCs w:val="21"/>
        </w:rPr>
      </w:pPr>
      <w:r>
        <w:rPr>
          <w:rFonts w:hint="eastAsia" w:ascii="宋体" w:hAnsi="宋体" w:eastAsia="宋体" w:cs="宋体"/>
          <w:bCs/>
          <w:szCs w:val="21"/>
        </w:rPr>
        <w:t>按现有产品生产技术要求，同其他原料配制的成品满足标准</w:t>
      </w:r>
      <w:r>
        <w:rPr>
          <w:rFonts w:hint="eastAsia" w:ascii="宋体" w:hAnsi="宋体" w:eastAsia="宋体" w:cs="宋体"/>
          <w:bCs/>
          <w:szCs w:val="21"/>
          <w:lang w:val="zh-CN"/>
        </w:rPr>
        <w:t>Q/SYJL</w:t>
      </w:r>
      <w:r>
        <w:rPr>
          <w:rFonts w:hint="eastAsia" w:ascii="宋体" w:hAnsi="宋体" w:eastAsia="宋体" w:cs="宋体"/>
          <w:bCs/>
          <w:szCs w:val="21"/>
          <w:lang w:val="en-US" w:eastAsia="zh-CN"/>
        </w:rPr>
        <w:t xml:space="preserve"> </w:t>
      </w:r>
      <w:r>
        <w:rPr>
          <w:rFonts w:hint="eastAsia" w:ascii="宋体" w:hAnsi="宋体" w:eastAsia="宋体" w:cs="宋体"/>
          <w:bCs/>
          <w:szCs w:val="21"/>
          <w:lang w:val="zh-CN"/>
        </w:rPr>
        <w:t>16045-20</w:t>
      </w:r>
      <w:r>
        <w:rPr>
          <w:rFonts w:hint="eastAsia" w:ascii="宋体" w:hAnsi="宋体" w:eastAsia="宋体" w:cs="宋体"/>
          <w:bCs/>
          <w:szCs w:val="21"/>
          <w:lang w:val="en-US" w:eastAsia="zh-CN"/>
        </w:rPr>
        <w:t>20 降粘吞吐驱油剂</w:t>
      </w:r>
      <w:r>
        <w:rPr>
          <w:rFonts w:hint="eastAsia" w:ascii="宋体" w:hAnsi="宋体" w:eastAsia="宋体" w:cs="宋体"/>
          <w:bCs/>
          <w:szCs w:val="21"/>
        </w:rPr>
        <w:t>中各项性能指标要求。</w:t>
      </w:r>
    </w:p>
    <w:p>
      <w:pPr>
        <w:pStyle w:val="3"/>
        <w:spacing w:before="156" w:beforeLines="50" w:beforeAutospacing="0" w:after="156" w:afterLines="50" w:afterAutospacing="0"/>
        <w:ind w:firstLine="420" w:firstLineChars="200"/>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bCs/>
          <w:sz w:val="21"/>
          <w:szCs w:val="21"/>
          <w:lang w:val="en-US" w:eastAsia="zh-CN"/>
        </w:rPr>
        <w:t>.4</w:t>
      </w:r>
      <w:r>
        <w:rPr>
          <w:rFonts w:hint="eastAsia" w:ascii="宋体" w:hAnsi="宋体" w:eastAsia="宋体" w:cs="宋体"/>
          <w:bCs/>
          <w:sz w:val="21"/>
          <w:szCs w:val="21"/>
        </w:rPr>
        <w:t xml:space="preserve"> 产品要求</w:t>
      </w:r>
    </w:p>
    <w:p>
      <w:pPr>
        <w:spacing w:line="288" w:lineRule="auto"/>
        <w:ind w:firstLine="440" w:firstLineChars="200"/>
        <w:rPr>
          <w:rFonts w:hint="eastAsia" w:ascii="宋体" w:hAnsi="宋体" w:eastAsia="宋体" w:cs="宋体"/>
          <w:szCs w:val="21"/>
          <w:u w:val="single"/>
        </w:rPr>
      </w:pPr>
      <w:r>
        <w:rPr>
          <w:rFonts w:hint="eastAsia" w:ascii="宋体" w:hAnsi="宋体" w:eastAsia="宋体" w:cs="宋体"/>
          <w:szCs w:val="21"/>
        </w:rPr>
        <w:t>4</w:t>
      </w:r>
      <w:r>
        <w:rPr>
          <w:rFonts w:hint="eastAsia" w:ascii="宋体" w:hAnsi="宋体" w:eastAsia="宋体" w:cs="宋体"/>
          <w:szCs w:val="21"/>
          <w:lang w:val="en-US" w:eastAsia="zh-CN"/>
        </w:rPr>
        <w:t>.4.1</w:t>
      </w:r>
      <w:r>
        <w:rPr>
          <w:rFonts w:hint="eastAsia" w:ascii="宋体" w:hAnsi="宋体" w:eastAsia="宋体" w:cs="宋体"/>
          <w:szCs w:val="21"/>
        </w:rPr>
        <w:t>质量要求及技术标准：所供产品质量合格，符合本次招标技术要求。</w:t>
      </w:r>
    </w:p>
    <w:p>
      <w:pPr>
        <w:tabs>
          <w:tab w:val="left" w:pos="1480"/>
        </w:tabs>
        <w:spacing w:line="288" w:lineRule="auto"/>
        <w:ind w:firstLine="44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4.2</w:t>
      </w:r>
      <w:r>
        <w:rPr>
          <w:rFonts w:hint="eastAsia" w:ascii="宋体" w:hAnsi="宋体" w:eastAsia="宋体" w:cs="宋体"/>
          <w:szCs w:val="21"/>
        </w:rPr>
        <w:t xml:space="preserve"> 服务要求：（1）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pPr>
        <w:tabs>
          <w:tab w:val="left" w:pos="1480"/>
        </w:tabs>
        <w:spacing w:line="288" w:lineRule="auto"/>
        <w:ind w:firstLine="442" w:firstLineChars="200"/>
        <w:rPr>
          <w:rFonts w:hint="eastAsia" w:ascii="宋体" w:hAnsi="宋体" w:cs="宋体"/>
          <w:b/>
          <w:bCs/>
          <w:color w:val="FF0000"/>
          <w:szCs w:val="21"/>
          <w:lang w:val="en-US" w:eastAsia="zh-CN"/>
        </w:rPr>
      </w:pPr>
      <w:r>
        <w:rPr>
          <w:rFonts w:hint="eastAsia" w:ascii="宋体" w:hAnsi="宋体" w:eastAsia="宋体" w:cs="宋体"/>
          <w:b/>
          <w:bCs/>
          <w:color w:val="FF0000"/>
          <w:szCs w:val="21"/>
          <w:lang w:val="en-US" w:eastAsia="zh-CN"/>
        </w:rPr>
        <w:t xml:space="preserve">4.5 </w:t>
      </w:r>
      <w:r>
        <w:rPr>
          <w:rFonts w:hint="eastAsia" w:ascii="宋体" w:hAnsi="宋体" w:cs="宋体"/>
          <w:b/>
          <w:bCs/>
          <w:color w:val="FF0000"/>
          <w:szCs w:val="21"/>
          <w:lang w:val="en-US" w:eastAsia="zh-CN"/>
        </w:rPr>
        <w:t>样品检测</w:t>
      </w:r>
    </w:p>
    <w:p>
      <w:pPr>
        <w:spacing w:line="360" w:lineRule="auto"/>
        <w:ind w:firstLine="442" w:firstLineChars="200"/>
        <w:rPr>
          <w:rFonts w:hint="eastAsia" w:ascii="黑体" w:hAnsi="黑体" w:cs="黑体"/>
          <w:b/>
          <w:bCs/>
          <w:color w:val="FF0000"/>
          <w:szCs w:val="21"/>
          <w:lang w:val="en-US" w:eastAsia="zh-CN"/>
        </w:rPr>
      </w:pPr>
      <w:r>
        <w:rPr>
          <w:rFonts w:hint="eastAsia" w:ascii="黑体" w:hAnsi="黑体" w:cs="黑体"/>
          <w:b/>
          <w:bCs/>
          <w:color w:val="FF0000"/>
          <w:szCs w:val="21"/>
          <w:lang w:val="en-US" w:eastAsia="zh-CN"/>
        </w:rPr>
        <w:t>本项目评标结果公示后兴业油化公司按招标技术规范检测第一中标候选人样品。样品检测合格后，兴业油化公司与第一中标候选人共同将样品复配为成品助剂，共同送检测机构检测成品（检测标准及方法依据</w:t>
      </w:r>
      <w:r>
        <w:rPr>
          <w:rFonts w:hint="eastAsia" w:ascii="宋体" w:hAnsi="宋体" w:eastAsia="宋体" w:cs="宋体"/>
          <w:b/>
          <w:bCs/>
          <w:color w:val="FF0000"/>
          <w:szCs w:val="21"/>
          <w:lang w:val="en-US" w:eastAsia="zh-CN"/>
        </w:rPr>
        <w:t>Q/SYJL 16045-2020 降粘吞吐驱油剂</w:t>
      </w:r>
      <w:r>
        <w:rPr>
          <w:rFonts w:hint="eastAsia" w:ascii="黑体" w:hAnsi="黑体" w:cs="黑体"/>
          <w:b/>
          <w:bCs/>
          <w:color w:val="FF0000"/>
          <w:szCs w:val="21"/>
          <w:lang w:val="en-US" w:eastAsia="zh-CN"/>
        </w:rPr>
        <w:t>）并出具检验报告，两次检验均合格者中标，下发中标通知书。检测费由第一中标候选人自行到招标人指定的检测机构交款，若样品不合格或逾期送样（接到招标人通知后 3 个工作日内送样），则顺延下一名次中标候选人，直至产生合格者。若全部中标候选人均不合格，则重新招标。</w:t>
      </w:r>
    </w:p>
    <w:p>
      <w:pPr>
        <w:spacing w:line="360" w:lineRule="auto"/>
        <w:ind w:firstLine="442" w:firstLineChars="200"/>
        <w:rPr>
          <w:rFonts w:hint="eastAsia" w:ascii="黑体" w:hAnsi="黑体" w:cs="黑体"/>
          <w:b/>
          <w:bCs w:val="0"/>
          <w:color w:val="FF0000"/>
          <w:szCs w:val="21"/>
          <w:lang w:val="en-US" w:eastAsia="zh-CN"/>
        </w:rPr>
      </w:pPr>
    </w:p>
    <w:p>
      <w:pPr>
        <w:spacing w:line="288" w:lineRule="auto"/>
        <w:rPr>
          <w:rFonts w:hint="eastAsia" w:hAnsi="宋体" w:cs="宋体"/>
          <w:szCs w:val="21"/>
        </w:rPr>
      </w:pPr>
      <w:r>
        <w:rPr>
          <w:rFonts w:hint="eastAsia" w:hAnsi="宋体" w:cs="宋体"/>
          <w:szCs w:val="21"/>
        </w:rPr>
        <w:t xml:space="preserve">        </w:t>
      </w:r>
    </w:p>
    <w:p>
      <w:pPr>
        <w:spacing w:line="288" w:lineRule="auto"/>
        <w:outlineLvl w:val="2"/>
        <w:rPr>
          <w:rFonts w:hint="eastAsia" w:ascii="黑体" w:hAnsi="宋体" w:eastAsia="黑体"/>
          <w:bCs/>
          <w:kern w:val="2"/>
          <w:sz w:val="28"/>
          <w:szCs w:val="28"/>
        </w:rPr>
      </w:pPr>
    </w:p>
    <w:p>
      <w:pPr>
        <w:spacing w:line="288" w:lineRule="auto"/>
        <w:ind w:firstLine="420" w:firstLineChars="200"/>
        <w:rPr>
          <w:rFonts w:hint="eastAsia" w:ascii="宋体" w:hAnsi="宋体" w:cs="宋体"/>
          <w:sz w:val="21"/>
          <w:szCs w:val="21"/>
        </w:rPr>
      </w:pPr>
    </w:p>
    <w:p>
      <w:pPr>
        <w:spacing w:line="288" w:lineRule="auto"/>
        <w:rPr>
          <w:rFonts w:hint="eastAsia" w:ascii="黑体" w:hAnsi="宋体" w:eastAsia="黑体"/>
          <w:bCs/>
          <w:spacing w:val="-6"/>
          <w:kern w:val="2"/>
          <w:sz w:val="28"/>
          <w:szCs w:val="28"/>
        </w:rPr>
      </w:pPr>
      <w:r>
        <w:rPr>
          <w:rFonts w:hint="eastAsia" w:hAnsi="宋体" w:cs="宋体"/>
          <w:szCs w:val="21"/>
        </w:rPr>
        <w:br w:type="page"/>
      </w:r>
      <w:bookmarkStart w:id="34" w:name="_Toc15401"/>
      <w:bookmarkStart w:id="35" w:name="_Toc15481775"/>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3</w:t>
      </w:r>
      <w:r>
        <w:rPr>
          <w:rFonts w:hint="eastAsia" w:ascii="黑体" w:hAnsi="宋体" w:eastAsia="黑体"/>
          <w:bCs/>
          <w:kern w:val="2"/>
          <w:sz w:val="28"/>
          <w:szCs w:val="28"/>
        </w:rPr>
        <w:t>：</w:t>
      </w:r>
      <w:r>
        <w:rPr>
          <w:rFonts w:hint="eastAsia" w:ascii="黑体" w:hAnsi="宋体" w:eastAsia="黑体"/>
          <w:bCs/>
          <w:spacing w:val="-6"/>
          <w:kern w:val="2"/>
          <w:sz w:val="28"/>
          <w:szCs w:val="28"/>
        </w:rPr>
        <w:t>《中国石油天然气集团有限公司投标人失信行为管理办法（试行）》</w:t>
      </w:r>
      <w:bookmarkEnd w:id="34"/>
    </w:p>
    <w:p>
      <w:pPr>
        <w:spacing w:line="288" w:lineRule="auto"/>
        <w:outlineLvl w:val="2"/>
        <w:rPr>
          <w:rFonts w:hint="eastAsia"/>
        </w:rPr>
      </w:pPr>
      <w:bookmarkStart w:id="36" w:name="_Toc23213"/>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5"/>
      <w:bookmarkEnd w:id="36"/>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4" name="椭圆 4"/>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cVyTTAAAABQEAAA8A&#10;AAAAAAAAAQAgAAAAIgAAAGRycy9kb3ducmV2LnhtbFBLAQIUABQAAAAIAIdO4kAqOu9a4wEAAK0D&#10;AAAOAAAAAAAAAAEAIAAAACIBAABkcnMvZTJvRG9jLnhtbFBLBQYAAAAABgAGAFkBAAB3BQ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4297680" cy="304800"/>
            <wp:effectExtent l="0" t="0" r="7620" b="0"/>
            <wp:docPr id="1" name="图片 1"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bc\AppData\Roaming\Tencent\Users\42054949\QQ\WinTemp\RichOle\HPR}P)YYPQH$3%{KEZ[)3X8.png"/>
                    <pic:cNvPicPr>
                      <a:picLocks noChangeAspect="1"/>
                    </pic:cNvPicPr>
                  </pic:nvPicPr>
                  <pic:blipFill>
                    <a:blip r:embed="rId4"/>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2" name="椭圆 2"/>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Gnzc1wAAAAoB&#10;AAAPAAAAAAAAAAEAIAAAACIAAABkcnMvZG93bnJldi54bWxQSwECFAAUAAAACACHTuJAZvEEw+MB&#10;AACtAwAADgAAAAAAAAABACAAAAAmAQAAZHJzL2Uyb0RvYy54bWxQSwUGAAAAAAYABgBZAQAAewUA&#10;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325745" cy="1059815"/>
            <wp:effectExtent l="0" t="0" r="8255" b="6985"/>
            <wp:docPr id="3" name="图片 2"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说明: C:\Users\abc\AppData\Roaming\Tencent\Users\42054949\QQ\WinTemp\RichOle\U3QC4~N`3O}B54}T%5NKXY2.png"/>
                    <pic:cNvPicPr>
                      <a:picLocks noChangeAspect="1"/>
                    </pic:cNvPicPr>
                  </pic:nvPicPr>
                  <pic:blipFill>
                    <a:blip r:embed="rId5"/>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5" name="椭圆 5"/>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37NLXAAAA&#10;CAEAAA8AAAAAAAAAAQAgAAAAIgAAAGRycy9kb3ducmV2LnhtbFBLAQIUABQAAAAIAIdO4kCn04P5&#10;5QEAAK4DAAAOAAAAAAAAAAEAIAAAACYBAABkcnMvZTJvRG9jLnhtbFBLBQYAAAAABgAGAFkBAAB9&#10;BQ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265420" cy="1074420"/>
            <wp:effectExtent l="0" t="0" r="11430" b="11430"/>
            <wp:docPr id="6" name="图片 3"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C:\Users\abc\AppData\Roaming\Tencent\Users\42054949\QQ\WinTemp\RichOle\PI$9P51%_3)$`]FJTC])1M3.png"/>
                    <pic:cNvPicPr>
                      <a:picLocks noChangeAspect="1"/>
                    </pic:cNvPicPr>
                  </pic:nvPicPr>
                  <pic:blipFill>
                    <a:blip r:embed="rId6"/>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pPr>
        <w:spacing w:line="288" w:lineRule="auto"/>
        <w:rPr>
          <w:color w:val="000000"/>
        </w:rPr>
      </w:pPr>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7" name="椭圆 7"/>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HyNX2gAAAAoBAAAPAAAAAAAAAAEAIAAAACIAAABkcnMvZG93bnJldi54&#10;bWxQSwECFAAUAAAACACHTuJAqGTGj/gBAADc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8" name="椭圆 8"/>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vxxNkAAAALAQAADwAAAAAAAAABACAAAAAiAAAAZHJzL2Rvd25yZXYueG1s&#10;UEsBAhQAFAAAAAgAh07iQAh8m7b3AQAA3AMAAA4AAAAAAAAAAQAgAAAAKAEAAGRycy9lMm9Eb2Mu&#10;eG1sUEsFBgAAAAAGAAYAWQEAAJEFA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9" name="椭圆 9"/>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RPMvYAAAACAEAAA8AAAAAAAAAAQAgAAAAIgAAAGRycy9kb3ducmV2Lnht&#10;bFBLAQIUABQAAAAIAIdO4kAxgppN+QEAANwDAAAOAAAAAAAAAAEAIAAAACcBAABkcnMvZTJvRG9j&#10;LnhtbFBLBQYAAAAABgAGAFkBAACSBQAAAAA=&#10;">
                <v:path/>
                <v:fill on="f" focussize="0,0"/>
                <v:stroke weight="2pt" color="#FF0000"/>
                <v:imagedata o:title=""/>
                <o:lock v:ext="edit"/>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10" name="椭圆 10"/>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fjDCp/gBAADe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11"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说明: C:\Users\abc\AppData\Roaming\Tencent\Users\42054949\QQ\WinTemp\RichOle\PI$9P51%_3)$`]FJTC])1M3.png"/>
                    <pic:cNvPicPr>
                      <a:picLocks noChangeAspect="1"/>
                    </pic:cNvPicPr>
                  </pic:nvPicPr>
                  <pic:blipFill>
                    <a:blip r:embed="rId6"/>
                    <a:srcRect r="-473"/>
                    <a:stretch>
                      <a:fillRect/>
                    </a:stretch>
                  </pic:blipFill>
                  <pic:spPr>
                    <a:xfrm>
                      <a:off x="0" y="0"/>
                      <a:ext cx="5280660" cy="1028700"/>
                    </a:xfrm>
                    <a:prstGeom prst="rect">
                      <a:avLst/>
                    </a:prstGeom>
                    <a:noFill/>
                    <a:ln>
                      <a:noFill/>
                    </a:ln>
                  </pic:spPr>
                </pic:pic>
              </a:graphicData>
            </a:graphic>
          </wp:inline>
        </w:drawing>
      </w:r>
    </w:p>
    <w:p>
      <w:pPr>
        <w:overflowPunct w:val="0"/>
        <w:spacing w:line="288" w:lineRule="auto"/>
        <w:ind w:firstLine="220" w:firstLineChars="100"/>
        <w:rPr>
          <w:rFonts w:hint="eastAsia" w:hAnsi="宋体"/>
        </w:rPr>
      </w:pPr>
    </w:p>
    <w:p>
      <w:pPr>
        <w:overflowPunct w:val="0"/>
        <w:spacing w:line="288" w:lineRule="auto"/>
        <w:ind w:firstLine="220" w:firstLineChars="100"/>
        <w:rPr>
          <w:rFonts w:hint="eastAsia" w:hAnsi="宋体"/>
        </w:rPr>
      </w:pPr>
    </w:p>
    <w:p>
      <w:pPr>
        <w:spacing w:line="288" w:lineRule="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6822"/>
    <w:rsid w:val="00100B9B"/>
    <w:rsid w:val="00785590"/>
    <w:rsid w:val="00AD4110"/>
    <w:rsid w:val="01C92D70"/>
    <w:rsid w:val="01F725F1"/>
    <w:rsid w:val="02191C7C"/>
    <w:rsid w:val="022F6188"/>
    <w:rsid w:val="02800D5B"/>
    <w:rsid w:val="02D95758"/>
    <w:rsid w:val="03BF70E0"/>
    <w:rsid w:val="03E135B4"/>
    <w:rsid w:val="0463275C"/>
    <w:rsid w:val="057300CD"/>
    <w:rsid w:val="06E40B2F"/>
    <w:rsid w:val="073D3235"/>
    <w:rsid w:val="07680F9E"/>
    <w:rsid w:val="07B36DC0"/>
    <w:rsid w:val="07F05DED"/>
    <w:rsid w:val="085A64C3"/>
    <w:rsid w:val="089B74FB"/>
    <w:rsid w:val="0A3173F7"/>
    <w:rsid w:val="0B414C73"/>
    <w:rsid w:val="0B4565A6"/>
    <w:rsid w:val="0BDB3743"/>
    <w:rsid w:val="0D9D6971"/>
    <w:rsid w:val="0F515770"/>
    <w:rsid w:val="0F614316"/>
    <w:rsid w:val="104D7F17"/>
    <w:rsid w:val="106C431D"/>
    <w:rsid w:val="11FB584C"/>
    <w:rsid w:val="123B6FE2"/>
    <w:rsid w:val="12B6664B"/>
    <w:rsid w:val="136D6DE8"/>
    <w:rsid w:val="13BE1A37"/>
    <w:rsid w:val="14D34A8D"/>
    <w:rsid w:val="163C04B6"/>
    <w:rsid w:val="16D440E5"/>
    <w:rsid w:val="186A3F63"/>
    <w:rsid w:val="190012DD"/>
    <w:rsid w:val="19384D11"/>
    <w:rsid w:val="19CF51F3"/>
    <w:rsid w:val="1A7E15A7"/>
    <w:rsid w:val="1B1173AD"/>
    <w:rsid w:val="1B390B61"/>
    <w:rsid w:val="1C360CAC"/>
    <w:rsid w:val="1C85069B"/>
    <w:rsid w:val="1CC468C5"/>
    <w:rsid w:val="1D93458C"/>
    <w:rsid w:val="1E0F5E36"/>
    <w:rsid w:val="20476541"/>
    <w:rsid w:val="21482866"/>
    <w:rsid w:val="21F47CB6"/>
    <w:rsid w:val="22D55D7B"/>
    <w:rsid w:val="23446B01"/>
    <w:rsid w:val="237C5260"/>
    <w:rsid w:val="237D4F91"/>
    <w:rsid w:val="247C1251"/>
    <w:rsid w:val="24E05161"/>
    <w:rsid w:val="25442A0C"/>
    <w:rsid w:val="25CC7742"/>
    <w:rsid w:val="263240BD"/>
    <w:rsid w:val="266F254D"/>
    <w:rsid w:val="27A132CC"/>
    <w:rsid w:val="27CD39E8"/>
    <w:rsid w:val="285B0528"/>
    <w:rsid w:val="28607E42"/>
    <w:rsid w:val="28D8721E"/>
    <w:rsid w:val="29660EFA"/>
    <w:rsid w:val="29822BB4"/>
    <w:rsid w:val="2C7C2C99"/>
    <w:rsid w:val="2D1B2558"/>
    <w:rsid w:val="2E3A469A"/>
    <w:rsid w:val="300367EA"/>
    <w:rsid w:val="32630AAC"/>
    <w:rsid w:val="32F2758C"/>
    <w:rsid w:val="33B536D5"/>
    <w:rsid w:val="33E30D40"/>
    <w:rsid w:val="34C06652"/>
    <w:rsid w:val="35097A6C"/>
    <w:rsid w:val="353F6339"/>
    <w:rsid w:val="35A95B95"/>
    <w:rsid w:val="36840FD4"/>
    <w:rsid w:val="37674C54"/>
    <w:rsid w:val="378142EE"/>
    <w:rsid w:val="385677CF"/>
    <w:rsid w:val="387541D8"/>
    <w:rsid w:val="38A31D81"/>
    <w:rsid w:val="39A13134"/>
    <w:rsid w:val="3A7A01EE"/>
    <w:rsid w:val="3AF4317B"/>
    <w:rsid w:val="3B2A2601"/>
    <w:rsid w:val="3CA71DE8"/>
    <w:rsid w:val="3CCD28F3"/>
    <w:rsid w:val="3D2B41C5"/>
    <w:rsid w:val="3D3E0774"/>
    <w:rsid w:val="3D5C7F96"/>
    <w:rsid w:val="3D7241CC"/>
    <w:rsid w:val="3FAC4C8D"/>
    <w:rsid w:val="41597DFA"/>
    <w:rsid w:val="41D03732"/>
    <w:rsid w:val="439B54A8"/>
    <w:rsid w:val="43EA65A1"/>
    <w:rsid w:val="43F92E4C"/>
    <w:rsid w:val="44774C58"/>
    <w:rsid w:val="47114E82"/>
    <w:rsid w:val="49EE059E"/>
    <w:rsid w:val="4C896234"/>
    <w:rsid w:val="4CB03B3C"/>
    <w:rsid w:val="4DA529F9"/>
    <w:rsid w:val="4E2F604C"/>
    <w:rsid w:val="4F6E52B9"/>
    <w:rsid w:val="4F9A66E7"/>
    <w:rsid w:val="4FCE68E2"/>
    <w:rsid w:val="50DA4238"/>
    <w:rsid w:val="52BD0A58"/>
    <w:rsid w:val="531A13A5"/>
    <w:rsid w:val="53F62044"/>
    <w:rsid w:val="545078EE"/>
    <w:rsid w:val="577877FF"/>
    <w:rsid w:val="58892BCC"/>
    <w:rsid w:val="589C5281"/>
    <w:rsid w:val="59A42E73"/>
    <w:rsid w:val="5C44763A"/>
    <w:rsid w:val="5F2D71F2"/>
    <w:rsid w:val="604C1943"/>
    <w:rsid w:val="632C70D5"/>
    <w:rsid w:val="64C429D6"/>
    <w:rsid w:val="6604067F"/>
    <w:rsid w:val="67C0352F"/>
    <w:rsid w:val="67EB2E9E"/>
    <w:rsid w:val="682F2E0A"/>
    <w:rsid w:val="683D2A55"/>
    <w:rsid w:val="69BC3CBA"/>
    <w:rsid w:val="69CE7643"/>
    <w:rsid w:val="6AC2346D"/>
    <w:rsid w:val="6B4546EA"/>
    <w:rsid w:val="6C902281"/>
    <w:rsid w:val="6DA67C20"/>
    <w:rsid w:val="6DF76931"/>
    <w:rsid w:val="6E100F1E"/>
    <w:rsid w:val="6F4555AC"/>
    <w:rsid w:val="706B6712"/>
    <w:rsid w:val="71F873B9"/>
    <w:rsid w:val="721517A4"/>
    <w:rsid w:val="721D2FC5"/>
    <w:rsid w:val="73FB1057"/>
    <w:rsid w:val="74C63720"/>
    <w:rsid w:val="74FB55D4"/>
    <w:rsid w:val="75005C2D"/>
    <w:rsid w:val="751F47AC"/>
    <w:rsid w:val="75505D5D"/>
    <w:rsid w:val="766C354C"/>
    <w:rsid w:val="77172CB7"/>
    <w:rsid w:val="781C739A"/>
    <w:rsid w:val="79955C33"/>
    <w:rsid w:val="79BF7246"/>
    <w:rsid w:val="79E40C8D"/>
    <w:rsid w:val="79F66058"/>
    <w:rsid w:val="7BAB6BDC"/>
    <w:rsid w:val="7BD813B0"/>
    <w:rsid w:val="7D6A58F0"/>
    <w:rsid w:val="7EEB5F8C"/>
    <w:rsid w:val="7F4A0B27"/>
    <w:rsid w:val="7FC07ACA"/>
    <w:rsid w:val="7FDE793C"/>
    <w:rsid w:val="7FF1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widowControl w:val="0"/>
      <w:autoSpaceDE w:val="0"/>
      <w:autoSpaceDN w:val="0"/>
      <w:adjustRightInd w:val="0"/>
      <w:spacing w:line="315" w:lineRule="atLeast"/>
      <w:ind w:firstLine="424" w:firstLineChars="202"/>
      <w:jc w:val="both"/>
    </w:pPr>
    <w:rPr>
      <w:rFonts w:ascii="宋体"/>
      <w:sz w:val="21"/>
      <w:szCs w:val="20"/>
    </w:rPr>
  </w:style>
  <w:style w:type="paragraph" w:styleId="3">
    <w:name w:val="Normal (Web)"/>
    <w:basedOn w:val="1"/>
    <w:qFormat/>
    <w:uiPriority w:val="0"/>
    <w:pPr>
      <w:spacing w:before="100" w:beforeLines="0" w:beforeAutospacing="1" w:after="100" w:afterLines="0" w:afterAutospacing="1"/>
    </w:pPr>
    <w:rPr>
      <w:rFonts w:ascii="宋体" w:hAnsi="宋体" w:cs="宋体"/>
      <w:sz w:val="24"/>
      <w:szCs w:val="24"/>
    </w:rPr>
  </w:style>
  <w:style w:type="paragraph" w:customStyle="1" w:styleId="6">
    <w:name w:val="Style7"/>
    <w:basedOn w:val="1"/>
    <w:qFormat/>
    <w:uiPriority w:val="0"/>
    <w:pPr>
      <w:adjustRightInd w:val="0"/>
      <w:spacing w:line="533" w:lineRule="exact"/>
      <w:jc w:val="center"/>
    </w:pPr>
    <w:rPr>
      <w:rFonts w:ascii="黑体" w:eastAsia="黑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xyy</dc:creator>
  <cp:lastModifiedBy>xyy</cp:lastModifiedBy>
  <dcterms:modified xsi:type="dcterms:W3CDTF">2020-08-04T06:47:55Z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