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88" w:lineRule="auto"/>
        <w:jc w:val="center"/>
        <w:rPr>
          <w:rFonts w:hint="eastAsia" w:eastAsia="黑体"/>
          <w:kern w:val="2"/>
          <w:sz w:val="28"/>
          <w:szCs w:val="28"/>
        </w:rPr>
      </w:pPr>
      <w:r>
        <w:rPr>
          <w:rFonts w:hint="eastAsia" w:eastAsia="黑体"/>
          <w:kern w:val="2"/>
          <w:sz w:val="28"/>
          <w:szCs w:val="28"/>
        </w:rPr>
        <w:t>吉林油田</w:t>
      </w:r>
      <w:r>
        <w:rPr>
          <w:rFonts w:hint="eastAsia" w:ascii="黑体" w:eastAsia="黑体" w:cs="黑体"/>
          <w:color w:val="0000C8"/>
          <w:kern w:val="2"/>
          <w:sz w:val="28"/>
          <w:szCs w:val="28"/>
          <w:lang w:eastAsia="zh-CN"/>
        </w:rPr>
        <w:t>人体静电释放仪</w:t>
      </w:r>
      <w:r>
        <w:rPr>
          <w:rFonts w:hint="eastAsia" w:ascii="黑体" w:eastAsia="黑体" w:cs="黑体"/>
          <w:color w:val="auto"/>
          <w:kern w:val="2"/>
          <w:sz w:val="28"/>
          <w:szCs w:val="28"/>
          <w:lang w:eastAsia="zh-CN"/>
        </w:rPr>
        <w:t>物资</w:t>
      </w:r>
      <w:r>
        <w:rPr>
          <w:rFonts w:hint="eastAsia" w:eastAsia="黑体"/>
          <w:kern w:val="2"/>
          <w:sz w:val="28"/>
          <w:szCs w:val="28"/>
        </w:rPr>
        <w:t>采购招标公告</w:t>
      </w:r>
    </w:p>
    <w:p>
      <w:pPr>
        <w:spacing w:line="288" w:lineRule="auto"/>
        <w:ind w:firstLine="420"/>
        <w:jc w:val="right"/>
        <w:rPr>
          <w:rFonts w:hint="eastAsia" w:ascii="黑体" w:hAnsi="黑体" w:eastAsia="黑体" w:cs="黑体"/>
          <w:color w:val="0000CC"/>
          <w:sz w:val="28"/>
          <w:szCs w:val="28"/>
          <w:u w:val="single"/>
          <w:lang w:eastAsia="zh-CN"/>
        </w:rPr>
      </w:pPr>
      <w:r>
        <w:t xml:space="preserve">                                </w:t>
      </w:r>
      <w:r>
        <w:rPr>
          <w:rFonts w:hint="eastAsia" w:eastAsia="黑体"/>
          <w:kern w:val="2"/>
          <w:sz w:val="28"/>
          <w:szCs w:val="28"/>
          <w:lang w:val="zh-CN"/>
        </w:rPr>
        <w:t>招标编号：</w:t>
      </w:r>
      <w:r>
        <w:rPr>
          <w:rFonts w:hint="eastAsia" w:ascii="黑体" w:hAnsi="黑体" w:eastAsia="黑体" w:cs="黑体"/>
          <w:sz w:val="28"/>
          <w:szCs w:val="28"/>
          <w:lang w:eastAsia="zh-CN"/>
        </w:rPr>
        <w:t>JLYT-ZBZX-2020-WZ-126-1</w:t>
      </w:r>
    </w:p>
    <w:p>
      <w:pPr>
        <w:spacing w:line="288" w:lineRule="auto"/>
        <w:ind w:firstLine="420"/>
        <w:jc w:val="right"/>
        <w:rPr>
          <w:rFonts w:hint="eastAsia" w:ascii="黑体" w:hAnsi="黑体" w:eastAsia="黑体" w:cs="黑体"/>
          <w:color w:val="0000CC"/>
          <w:sz w:val="28"/>
          <w:szCs w:val="28"/>
          <w:u w:val="single"/>
        </w:rPr>
      </w:pPr>
    </w:p>
    <w:p>
      <w:pPr>
        <w:rPr>
          <w:rFonts w:ascii="Arial" w:hAnsi="Arial" w:eastAsia="黑体"/>
          <w:b/>
          <w:bCs/>
          <w:kern w:val="2"/>
          <w:sz w:val="32"/>
          <w:szCs w:val="32"/>
        </w:rPr>
      </w:pPr>
      <w:bookmarkStart w:id="0" w:name="_Toc489354666"/>
      <w:bookmarkStart w:id="1" w:name="_Toc520895294"/>
      <w:bookmarkStart w:id="2" w:name="_Toc347086849"/>
      <w:bookmarkStart w:id="3" w:name="_Toc347209678"/>
      <w:bookmarkStart w:id="4" w:name="_Toc17902421"/>
      <w:bookmarkStart w:id="5" w:name="_Toc347086983"/>
      <w:r>
        <w:rPr>
          <w:rFonts w:hint="eastAsia" w:ascii="Arial" w:hAnsi="Arial" w:eastAsia="黑体"/>
          <w:b/>
          <w:bCs/>
          <w:kern w:val="2"/>
          <w:sz w:val="32"/>
          <w:szCs w:val="32"/>
        </w:rPr>
        <w:t>1.招标条件</w:t>
      </w:r>
      <w:bookmarkEnd w:id="0"/>
      <w:bookmarkEnd w:id="1"/>
      <w:bookmarkEnd w:id="2"/>
      <w:bookmarkEnd w:id="3"/>
      <w:bookmarkEnd w:id="4"/>
      <w:bookmarkEnd w:id="5"/>
    </w:p>
    <w:p>
      <w:pPr>
        <w:overflowPunct w:val="0"/>
        <w:spacing w:line="288" w:lineRule="auto"/>
        <w:ind w:firstLine="420"/>
        <w:rPr>
          <w:rFonts w:hAnsi="宋体" w:cs="宋体"/>
          <w:szCs w:val="21"/>
        </w:rPr>
      </w:pPr>
      <w:bookmarkStart w:id="6" w:name="_Toc347209679"/>
      <w:bookmarkStart w:id="7" w:name="_Toc347086984"/>
      <w:bookmarkStart w:id="8" w:name="_Toc347086850"/>
      <w:r>
        <w:rPr>
          <w:rFonts w:hint="eastAsia"/>
          <w:kern w:val="2"/>
          <w:sz w:val="21"/>
          <w:szCs w:val="21"/>
        </w:rPr>
        <w:t>本招标项目招标人为中国石油天然气股份有限公司吉林油田分公司，招标机构为中国石油天然气股份有限公司吉林油田分公司招标中心。招标项目资金（资金来源）已落实，该项目已具备招标条件，现进行公开招标。</w:t>
      </w:r>
    </w:p>
    <w:p>
      <w:pPr>
        <w:rPr>
          <w:rFonts w:ascii="Arial" w:hAnsi="Arial" w:eastAsia="黑体"/>
          <w:b/>
          <w:bCs/>
          <w:kern w:val="2"/>
          <w:sz w:val="32"/>
          <w:szCs w:val="32"/>
        </w:rPr>
      </w:pPr>
      <w:bookmarkStart w:id="9" w:name="_Toc489354667"/>
      <w:bookmarkStart w:id="10" w:name="_Toc520895295"/>
      <w:bookmarkStart w:id="11" w:name="_Toc17902422"/>
      <w:r>
        <w:rPr>
          <w:rFonts w:hint="eastAsia" w:ascii="Arial" w:hAnsi="Arial" w:eastAsia="黑体"/>
          <w:b/>
          <w:bCs/>
          <w:kern w:val="2"/>
          <w:sz w:val="32"/>
          <w:szCs w:val="32"/>
        </w:rPr>
        <w:t>2.项目概况与招标范围</w:t>
      </w:r>
      <w:bookmarkEnd w:id="6"/>
      <w:bookmarkEnd w:id="7"/>
      <w:bookmarkEnd w:id="8"/>
      <w:bookmarkEnd w:id="9"/>
      <w:bookmarkEnd w:id="10"/>
      <w:bookmarkEnd w:id="11"/>
      <w:r>
        <w:rPr>
          <w:rFonts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2.1项目概况</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2.1.1本项目预计采购金额</w:t>
      </w:r>
      <w:r>
        <w:rPr>
          <w:rFonts w:hint="eastAsia" w:ascii="宋体" w:hAnsi="宋体" w:cs="宋体"/>
          <w:sz w:val="21"/>
          <w:szCs w:val="21"/>
          <w:lang w:val="en-US" w:eastAsia="zh-CN"/>
        </w:rPr>
        <w:t>4</w:t>
      </w:r>
      <w:r>
        <w:rPr>
          <w:rFonts w:hint="eastAsia" w:ascii="宋体" w:hAnsi="宋体" w:cs="宋体"/>
          <w:color w:val="0000C8"/>
          <w:sz w:val="21"/>
          <w:szCs w:val="21"/>
          <w:lang w:val="en-US" w:eastAsia="zh-CN"/>
        </w:rPr>
        <w:t>00</w:t>
      </w:r>
      <w:r>
        <w:rPr>
          <w:rFonts w:hint="eastAsia" w:ascii="宋体" w:hAnsi="宋体" w:cs="宋体"/>
          <w:color w:val="0000C8"/>
          <w:sz w:val="21"/>
          <w:szCs w:val="21"/>
        </w:rPr>
        <w:t>万元（不含增值税），定商定价不定量</w:t>
      </w:r>
      <w:r>
        <w:rPr>
          <w:rFonts w:hint="eastAsia" w:ascii="宋体" w:hAnsi="宋体" w:cs="宋体"/>
          <w:sz w:val="21"/>
          <w:szCs w:val="21"/>
        </w:rPr>
        <w:t>采购，</w:t>
      </w:r>
      <w:r>
        <w:rPr>
          <w:rFonts w:hint="eastAsia" w:ascii="宋体" w:hAnsi="宋体" w:cs="宋体"/>
          <w:color w:val="0000C8"/>
          <w:sz w:val="21"/>
          <w:szCs w:val="21"/>
        </w:rPr>
        <w:t>需求数量以实际发生为准。项目执行期限为</w:t>
      </w:r>
      <w:r>
        <w:rPr>
          <w:rFonts w:hint="eastAsia" w:cs="宋体"/>
          <w:color w:val="000FDC"/>
          <w:szCs w:val="21"/>
        </w:rPr>
        <w:t>中标通知书下发之日起二年</w:t>
      </w:r>
      <w:r>
        <w:rPr>
          <w:rFonts w:hint="eastAsia" w:ascii="宋体" w:hAnsi="宋体" w:cs="宋体"/>
          <w:color w:val="0000C8"/>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2.1.2 实施或交货地点：</w:t>
      </w:r>
      <w:r>
        <w:rPr>
          <w:rFonts w:hint="eastAsia" w:cs="宋体"/>
          <w:color w:val="000FDC"/>
          <w:szCs w:val="21"/>
        </w:rPr>
        <w:t>吉林油田</w:t>
      </w:r>
      <w:r>
        <w:rPr>
          <w:rFonts w:hint="eastAsia" w:cs="宋体"/>
          <w:color w:val="000FDC"/>
          <w:szCs w:val="21"/>
          <w:lang w:eastAsia="zh-CN"/>
        </w:rPr>
        <w:t>石油工程使用</w:t>
      </w:r>
      <w:r>
        <w:rPr>
          <w:rFonts w:hint="eastAsia" w:cs="宋体"/>
          <w:color w:val="000FDC"/>
          <w:szCs w:val="21"/>
        </w:rPr>
        <w:t>现场</w:t>
      </w:r>
      <w:r>
        <w:rPr>
          <w:rFonts w:hint="eastAsia" w:ascii="宋体" w:hAnsi="宋体" w:cs="宋体"/>
          <w:sz w:val="21"/>
          <w:szCs w:val="21"/>
        </w:rPr>
        <w:t>；</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2.1.3交货期或供货周期：</w:t>
      </w:r>
      <w:r>
        <w:rPr>
          <w:rFonts w:hint="eastAsia" w:cs="宋体"/>
          <w:color w:val="000FDC"/>
          <w:szCs w:val="21"/>
          <w:lang w:eastAsia="zh-CN"/>
        </w:rPr>
        <w:t>签订采购订单后</w:t>
      </w:r>
      <w:r>
        <w:rPr>
          <w:rFonts w:hint="eastAsia" w:cs="宋体"/>
          <w:color w:val="000FDC"/>
          <w:szCs w:val="21"/>
          <w:lang w:val="en-US" w:eastAsia="zh-CN"/>
        </w:rPr>
        <w:t>45</w:t>
      </w:r>
      <w:r>
        <w:rPr>
          <w:rFonts w:hint="eastAsia" w:cs="宋体"/>
          <w:color w:val="000FDC"/>
          <w:szCs w:val="21"/>
        </w:rPr>
        <w:t>日内交货</w:t>
      </w:r>
      <w:r>
        <w:rPr>
          <w:rFonts w:hint="eastAsia" w:ascii="宋体" w:hAnsi="宋体" w:cs="宋体"/>
          <w:color w:val="0000C8"/>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2.1.4运输方式：</w:t>
      </w:r>
      <w:r>
        <w:rPr>
          <w:rFonts w:hint="eastAsia" w:cs="宋体"/>
          <w:color w:val="000FDC"/>
          <w:szCs w:val="21"/>
          <w:lang w:eastAsia="zh-CN"/>
        </w:rPr>
        <w:t>公路运输</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2.1.5交货方式：</w:t>
      </w:r>
      <w:r>
        <w:rPr>
          <w:rFonts w:hint="eastAsia" w:ascii="宋体" w:hAnsi="宋体" w:cs="宋体"/>
          <w:kern w:val="0"/>
          <w:szCs w:val="21"/>
        </w:rPr>
        <w:t>乙方送货</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2.1.6验收方式：按技术要求及合同相关条款验收；</w:t>
      </w:r>
    </w:p>
    <w:p>
      <w:pPr>
        <w:spacing w:line="288" w:lineRule="auto"/>
        <w:ind w:firstLine="420" w:firstLineChars="200"/>
        <w:rPr>
          <w:rFonts w:hint="eastAsia" w:ascii="宋体" w:hAnsi="宋体" w:cs="宋体"/>
          <w:color w:val="0000CC"/>
          <w:sz w:val="21"/>
          <w:szCs w:val="21"/>
        </w:rPr>
      </w:pPr>
      <w:r>
        <w:rPr>
          <w:rFonts w:hint="eastAsia" w:ascii="宋体" w:hAnsi="宋体" w:cs="宋体"/>
          <w:sz w:val="21"/>
          <w:szCs w:val="21"/>
        </w:rPr>
        <w:t>2.1.7质量保证期：</w:t>
      </w:r>
      <w:r>
        <w:rPr>
          <w:rFonts w:hint="eastAsia" w:ascii="宋体" w:hAnsi="宋体" w:cs="宋体"/>
          <w:color w:val="0000C8"/>
          <w:sz w:val="21"/>
          <w:szCs w:val="21"/>
        </w:rPr>
        <w:t>自验收合格之日起</w:t>
      </w:r>
      <w:r>
        <w:rPr>
          <w:rFonts w:hint="eastAsia" w:ascii="宋体" w:hAnsi="宋体" w:cs="宋体"/>
          <w:color w:val="0000C8"/>
          <w:sz w:val="21"/>
          <w:szCs w:val="21"/>
          <w:lang w:val="en-US" w:eastAsia="zh-CN"/>
        </w:rPr>
        <w:t>1</w:t>
      </w:r>
      <w:r>
        <w:rPr>
          <w:rFonts w:hint="eastAsia" w:ascii="宋体" w:hAnsi="宋体" w:cs="宋体"/>
          <w:color w:val="0000C8"/>
          <w:sz w:val="21"/>
          <w:szCs w:val="21"/>
        </w:rPr>
        <w:t>年</w:t>
      </w:r>
      <w:r>
        <w:rPr>
          <w:rFonts w:hint="eastAsia" w:ascii="宋体" w:hAnsi="宋体" w:cs="宋体"/>
          <w:color w:val="0000CC"/>
          <w:sz w:val="21"/>
          <w:szCs w:val="21"/>
        </w:rPr>
        <w:t>；</w:t>
      </w:r>
    </w:p>
    <w:p>
      <w:pPr>
        <w:spacing w:line="288" w:lineRule="auto"/>
        <w:ind w:firstLine="420" w:firstLineChars="200"/>
        <w:rPr>
          <w:rFonts w:hint="eastAsia" w:ascii="宋体" w:hAnsi="宋体" w:cs="宋体"/>
          <w:color w:val="333333"/>
          <w:sz w:val="21"/>
          <w:szCs w:val="21"/>
        </w:rPr>
      </w:pPr>
      <w:r>
        <w:rPr>
          <w:rFonts w:hint="eastAsia" w:ascii="宋体" w:hAnsi="宋体" w:cs="宋体"/>
          <w:sz w:val="21"/>
          <w:szCs w:val="21"/>
        </w:rPr>
        <w:t>2.1.8质量标准或技术要求：</w:t>
      </w:r>
      <w:r>
        <w:rPr>
          <w:rFonts w:hint="eastAsia" w:ascii="宋体" w:hAnsi="宋体" w:cs="宋体"/>
          <w:color w:val="333333"/>
          <w:sz w:val="21"/>
          <w:szCs w:val="21"/>
        </w:rPr>
        <w:t>详见《附件2：技术要求》。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2.2招标范围</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2.2.1货物名称及规格：详见《附件1：货物需求一览表》；</w:t>
      </w:r>
    </w:p>
    <w:p>
      <w:pPr>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2.2.2标包划分</w:t>
      </w:r>
      <w:r>
        <w:rPr>
          <w:rFonts w:hint="eastAsia" w:ascii="宋体" w:hAnsi="宋体" w:cs="宋体"/>
          <w:sz w:val="21"/>
          <w:szCs w:val="21"/>
          <w:highlight w:val="none"/>
          <w:lang w:eastAsia="zh-CN"/>
        </w:rPr>
        <w:t>：</w:t>
      </w:r>
      <w:r>
        <w:rPr>
          <w:rFonts w:hint="eastAsia" w:ascii="宋体" w:hAnsi="宋体" w:cs="宋体"/>
          <w:color w:val="0000C8"/>
          <w:sz w:val="21"/>
          <w:szCs w:val="21"/>
          <w:highlight w:val="none"/>
          <w:lang w:val="en-US" w:eastAsia="zh-CN"/>
        </w:rPr>
        <w:t>1</w:t>
      </w:r>
      <w:r>
        <w:rPr>
          <w:rFonts w:hint="eastAsia" w:ascii="宋体" w:hAnsi="宋体" w:cs="宋体"/>
          <w:color w:val="0000C8"/>
          <w:sz w:val="21"/>
          <w:szCs w:val="21"/>
          <w:highlight w:val="none"/>
        </w:rPr>
        <w:t>个标包</w:t>
      </w:r>
      <w:r>
        <w:rPr>
          <w:rFonts w:hint="eastAsia" w:ascii="宋体" w:hAnsi="宋体" w:cs="宋体"/>
          <w:color w:val="0000C8"/>
          <w:sz w:val="21"/>
          <w:szCs w:val="21"/>
          <w:highlight w:val="none"/>
          <w:lang w:eastAsia="zh-CN"/>
        </w:rPr>
        <w:t>；</w:t>
      </w:r>
    </w:p>
    <w:p>
      <w:pPr>
        <w:spacing w:line="288" w:lineRule="auto"/>
        <w:ind w:firstLine="420" w:firstLineChars="200"/>
        <w:rPr>
          <w:rFonts w:hint="eastAsia" w:ascii="宋体" w:hAnsi="宋体" w:cs="宋体"/>
          <w:color w:val="0000C8"/>
          <w:sz w:val="21"/>
          <w:szCs w:val="21"/>
          <w:lang w:eastAsia="zh-CN"/>
        </w:rPr>
      </w:pPr>
      <w:r>
        <w:rPr>
          <w:rFonts w:hint="eastAsia" w:ascii="宋体" w:hAnsi="宋体" w:cs="宋体"/>
          <w:sz w:val="21"/>
          <w:szCs w:val="21"/>
          <w:highlight w:val="none"/>
          <w:lang w:val="en-US" w:eastAsia="zh-CN"/>
        </w:rPr>
        <w:t>2.2.3</w:t>
      </w:r>
      <w:r>
        <w:rPr>
          <w:rFonts w:hint="eastAsia" w:ascii="宋体" w:hAnsi="宋体" w:cs="宋体"/>
          <w:sz w:val="21"/>
          <w:szCs w:val="21"/>
          <w:highlight w:val="none"/>
        </w:rPr>
        <w:t>中标人数量：</w:t>
      </w:r>
      <w:r>
        <w:rPr>
          <w:rFonts w:hint="eastAsia" w:cs="宋体"/>
          <w:color w:val="000FDC"/>
          <w:szCs w:val="21"/>
          <w:lang w:val="en-US" w:eastAsia="zh-CN"/>
        </w:rPr>
        <w:t>每个标包拟确定两名中标人；其中，第二中标人为备选供应商。启动备选供应商条件：第一中标人存在产品质量问题、无正当理由拒签合同及技术协议书、无合同履行能力或部分丧失合同履行能力、与吉林油田发生重大法律纠纷、及其他违法违规情形，可启用备选供应商。</w:t>
      </w:r>
    </w:p>
    <w:p>
      <w:pPr>
        <w:spacing w:line="288" w:lineRule="auto"/>
        <w:ind w:firstLine="420" w:firstLineChars="200"/>
        <w:rPr>
          <w:rFonts w:hint="default" w:ascii="宋体" w:hAnsi="宋体" w:eastAsia="宋体" w:cs="宋体"/>
          <w:color w:val="0000C8"/>
          <w:sz w:val="21"/>
          <w:szCs w:val="21"/>
          <w:lang w:val="en-US" w:eastAsia="zh-CN"/>
        </w:rPr>
      </w:pPr>
      <w:r>
        <w:rPr>
          <w:rFonts w:hint="eastAsia" w:ascii="宋体" w:hAnsi="宋体" w:cs="宋体"/>
          <w:sz w:val="21"/>
          <w:szCs w:val="21"/>
          <w:highlight w:val="none"/>
          <w:lang w:val="en-US" w:eastAsia="zh-CN"/>
        </w:rPr>
        <w:t>2.2.4 工作量分配方案或原则：</w:t>
      </w:r>
      <w:r>
        <w:rPr>
          <w:rFonts w:hint="eastAsia" w:cs="宋体"/>
          <w:color w:val="000FDC"/>
          <w:szCs w:val="21"/>
          <w:lang w:val="en-US" w:eastAsia="zh-CN"/>
        </w:rPr>
        <w:t>100%</w:t>
      </w:r>
      <w:r>
        <w:rPr>
          <w:rFonts w:hint="eastAsia" w:ascii="宋体" w:hAnsi="宋体" w:cs="宋体"/>
          <w:color w:val="0000C8"/>
          <w:sz w:val="21"/>
          <w:szCs w:val="21"/>
          <w:lang w:val="en-US" w:eastAsia="zh-CN"/>
        </w:rPr>
        <w:t>；</w:t>
      </w:r>
    </w:p>
    <w:p>
      <w:pPr>
        <w:spacing w:line="288" w:lineRule="auto"/>
        <w:ind w:left="440" w:leftChars="200"/>
        <w:rPr>
          <w:rFonts w:hint="eastAsia" w:ascii="宋体" w:hAnsi="宋体" w:cs="宋体"/>
          <w:color w:val="333333"/>
          <w:sz w:val="21"/>
          <w:szCs w:val="21"/>
        </w:rPr>
      </w:pPr>
      <w:r>
        <w:rPr>
          <w:rFonts w:hint="eastAsia" w:ascii="宋体" w:hAnsi="宋体" w:cs="宋体"/>
          <w:color w:val="333333"/>
          <w:sz w:val="21"/>
          <w:szCs w:val="21"/>
        </w:rPr>
        <w:t>2.3其他</w:t>
      </w:r>
    </w:p>
    <w:p>
      <w:pPr>
        <w:spacing w:line="288" w:lineRule="auto"/>
        <w:ind w:left="440" w:leftChars="200"/>
        <w:rPr>
          <w:rFonts w:hint="default" w:ascii="宋体" w:hAnsi="宋体" w:eastAsia="宋体" w:cs="宋体"/>
          <w:color w:val="333333"/>
          <w:sz w:val="21"/>
          <w:szCs w:val="21"/>
          <w:highlight w:val="none"/>
          <w:lang w:val="en-US" w:eastAsia="zh-CN"/>
        </w:rPr>
      </w:pPr>
      <w:r>
        <w:rPr>
          <w:rFonts w:hint="eastAsia" w:ascii="宋体" w:hAnsi="宋体" w:cs="宋体"/>
          <w:color w:val="333333"/>
          <w:sz w:val="21"/>
          <w:szCs w:val="21"/>
          <w:highlight w:val="none"/>
          <w:lang w:val="en-US" w:eastAsia="zh-CN"/>
        </w:rPr>
        <w:t>2.3.1投标保证金：具体要求见招标文件投标人须知前附表3.4.1；</w:t>
      </w:r>
    </w:p>
    <w:p>
      <w:pPr>
        <w:spacing w:line="288" w:lineRule="auto"/>
        <w:ind w:left="0" w:leftChars="0" w:firstLine="420" w:firstLineChars="200"/>
        <w:rPr>
          <w:rFonts w:hint="eastAsia" w:ascii="宋体" w:hAnsi="宋体" w:cs="宋体"/>
          <w:color w:val="0000C8"/>
          <w:sz w:val="21"/>
          <w:szCs w:val="21"/>
        </w:rPr>
      </w:pPr>
      <w:r>
        <w:rPr>
          <w:rFonts w:hint="eastAsia" w:ascii="宋体" w:hAnsi="宋体" w:cs="宋体"/>
          <w:color w:val="333333"/>
          <w:sz w:val="21"/>
          <w:szCs w:val="21"/>
        </w:rPr>
        <w:t>2.3.</w:t>
      </w:r>
      <w:r>
        <w:rPr>
          <w:rFonts w:hint="eastAsia" w:ascii="宋体" w:hAnsi="宋体" w:cs="宋体"/>
          <w:color w:val="333333"/>
          <w:sz w:val="21"/>
          <w:szCs w:val="21"/>
          <w:lang w:val="en-US" w:eastAsia="zh-CN"/>
        </w:rPr>
        <w:t>2</w:t>
      </w:r>
      <w:r>
        <w:rPr>
          <w:rFonts w:hint="eastAsia" w:ascii="宋体" w:hAnsi="宋体" w:cs="宋体"/>
          <w:color w:val="333333"/>
          <w:sz w:val="21"/>
          <w:szCs w:val="21"/>
        </w:rPr>
        <w:t xml:space="preserve"> </w:t>
      </w:r>
      <w:r>
        <w:rPr>
          <w:rFonts w:hint="eastAsia" w:ascii="宋体" w:hAnsi="宋体" w:cs="宋体"/>
          <w:sz w:val="21"/>
          <w:szCs w:val="21"/>
        </w:rPr>
        <w:t>履约保证金：</w:t>
      </w:r>
      <w:r>
        <w:rPr>
          <w:rFonts w:hint="eastAsia" w:cs="宋体"/>
          <w:color w:val="000FDC"/>
          <w:szCs w:val="21"/>
          <w:lang w:val="en-US" w:eastAsia="zh-CN"/>
        </w:rPr>
        <w:t xml:space="preserve">具体要求见合同相关条款； </w:t>
      </w:r>
    </w:p>
    <w:p>
      <w:pPr>
        <w:snapToGrid w:val="0"/>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rPr>
        <w:t>2.3.</w:t>
      </w:r>
      <w:r>
        <w:rPr>
          <w:rFonts w:hint="eastAsia" w:ascii="宋体" w:hAnsi="宋体" w:cs="宋体"/>
          <w:sz w:val="21"/>
          <w:szCs w:val="21"/>
          <w:lang w:val="en-US" w:eastAsia="zh-CN"/>
        </w:rPr>
        <w:t>3</w:t>
      </w:r>
      <w:r>
        <w:rPr>
          <w:rFonts w:hint="eastAsia" w:ascii="宋体" w:hAnsi="宋体" w:cs="宋体"/>
          <w:color w:val="auto"/>
          <w:sz w:val="21"/>
          <w:szCs w:val="21"/>
          <w:highlight w:val="none"/>
        </w:rPr>
        <w:t>服务费</w:t>
      </w:r>
      <w:r>
        <w:rPr>
          <w:rFonts w:hint="eastAsia" w:ascii="宋体" w:hAnsi="宋体" w:cs="宋体"/>
          <w:sz w:val="21"/>
          <w:szCs w:val="21"/>
          <w:highlight w:val="none"/>
        </w:rPr>
        <w:t>：中标厂家签订的合同，招标人将收取乙方挂账金额（不含税）</w:t>
      </w:r>
      <w:r>
        <w:rPr>
          <w:rFonts w:hint="eastAsia" w:ascii="宋体" w:hAnsi="宋体" w:cs="宋体"/>
          <w:color w:val="0000C8"/>
          <w:sz w:val="21"/>
          <w:szCs w:val="21"/>
          <w:highlight w:val="none"/>
        </w:rPr>
        <w:t>2%</w:t>
      </w:r>
      <w:r>
        <w:rPr>
          <w:rFonts w:hint="eastAsia" w:ascii="宋体" w:hAnsi="宋体" w:cs="宋体"/>
          <w:sz w:val="21"/>
          <w:szCs w:val="21"/>
          <w:highlight w:val="none"/>
        </w:rPr>
        <w:t>的服务费</w:t>
      </w:r>
      <w:r>
        <w:rPr>
          <w:rFonts w:hint="eastAsia" w:ascii="宋体" w:hAnsi="宋体" w:cs="宋体"/>
          <w:sz w:val="21"/>
          <w:szCs w:val="21"/>
          <w:highlight w:val="none"/>
          <w:lang w:eastAsia="zh-CN"/>
        </w:rPr>
        <w:t>；</w:t>
      </w:r>
    </w:p>
    <w:p>
      <w:pPr>
        <w:snapToGrid w:val="0"/>
        <w:spacing w:line="288" w:lineRule="auto"/>
        <w:ind w:firstLine="420" w:firstLineChars="200"/>
        <w:rPr>
          <w:rFonts w:hint="eastAsia" w:ascii="宋体" w:hAnsi="宋体" w:cs="宋体"/>
          <w:color w:val="0000CC"/>
          <w:sz w:val="21"/>
          <w:szCs w:val="21"/>
          <w:highlight w:val="none"/>
        </w:rPr>
      </w:pPr>
      <w:r>
        <w:rPr>
          <w:rFonts w:hint="eastAsia" w:ascii="宋体" w:hAnsi="宋体" w:cs="宋体"/>
          <w:color w:val="0000C8"/>
          <w:sz w:val="21"/>
          <w:szCs w:val="21"/>
          <w:highlight w:val="none"/>
        </w:rPr>
        <w:t>2.3.</w:t>
      </w:r>
      <w:r>
        <w:rPr>
          <w:rFonts w:hint="eastAsia" w:ascii="宋体" w:hAnsi="宋体" w:cs="宋体"/>
          <w:color w:val="0000C8"/>
          <w:sz w:val="21"/>
          <w:szCs w:val="21"/>
          <w:highlight w:val="none"/>
          <w:lang w:val="en-US" w:eastAsia="zh-CN"/>
        </w:rPr>
        <w:t>4</w:t>
      </w:r>
      <w:r>
        <w:rPr>
          <w:rFonts w:hint="eastAsia" w:ascii="宋体" w:hAnsi="宋体" w:cs="宋体"/>
          <w:color w:val="0000C8"/>
          <w:sz w:val="21"/>
          <w:szCs w:val="21"/>
          <w:highlight w:val="none"/>
        </w:rPr>
        <w:t>其他：</w:t>
      </w:r>
      <w:r>
        <w:rPr>
          <w:rFonts w:hint="eastAsia" w:ascii="宋体" w:hAnsi="宋体" w:cs="宋体"/>
          <w:color w:val="0000C8"/>
          <w:sz w:val="21"/>
          <w:szCs w:val="21"/>
          <w:highlight w:val="none"/>
          <w:lang w:eastAsia="zh-CN"/>
        </w:rPr>
        <w:t>供应商中标后，凭中标通知书办理</w:t>
      </w:r>
      <w:r>
        <w:rPr>
          <w:rFonts w:hint="eastAsia" w:ascii="宋体" w:hAnsi="宋体" w:cs="宋体"/>
          <w:color w:val="0000C8"/>
          <w:sz w:val="21"/>
          <w:szCs w:val="21"/>
          <w:highlight w:val="none"/>
          <w:lang w:val="en-US" w:eastAsia="zh-CN"/>
        </w:rPr>
        <w:t>37990501人体静电释放仪的增项</w:t>
      </w:r>
      <w:r>
        <w:rPr>
          <w:rFonts w:hint="eastAsia" w:ascii="宋体" w:hAnsi="宋体" w:cs="宋体"/>
          <w:color w:val="0000C8"/>
          <w:sz w:val="21"/>
          <w:szCs w:val="21"/>
          <w:highlight w:val="none"/>
        </w:rPr>
        <w:t>。</w:t>
      </w:r>
    </w:p>
    <w:p>
      <w:bookmarkStart w:id="12" w:name="_Toc347086851"/>
      <w:bookmarkStart w:id="13" w:name="_Toc17902423"/>
      <w:bookmarkStart w:id="14" w:name="_Toc520895296"/>
      <w:bookmarkStart w:id="15" w:name="_Toc347209680"/>
      <w:bookmarkStart w:id="16" w:name="_Toc347086985"/>
      <w:r>
        <w:rPr>
          <w:rFonts w:hint="eastAsia" w:ascii="Arial" w:hAnsi="Arial" w:eastAsia="黑体"/>
          <w:b/>
          <w:bCs/>
          <w:kern w:val="2"/>
          <w:sz w:val="32"/>
          <w:szCs w:val="32"/>
        </w:rPr>
        <w:t>3.投标人资格要求</w:t>
      </w:r>
      <w:bookmarkEnd w:id="12"/>
      <w:bookmarkEnd w:id="13"/>
      <w:bookmarkEnd w:id="14"/>
      <w:bookmarkEnd w:id="15"/>
      <w:bookmarkEnd w:id="16"/>
    </w:p>
    <w:p>
      <w:pPr>
        <w:pageBreakBefore w:val="0"/>
        <w:kinsoku/>
        <w:wordWrap/>
        <w:overflowPunct/>
        <w:topLinePunct w:val="0"/>
        <w:bidi w:val="0"/>
        <w:adjustRightInd/>
        <w:snapToGrid/>
        <w:spacing w:before="0" w:beforeLines="0" w:after="0" w:afterLines="0" w:line="360" w:lineRule="auto"/>
        <w:textAlignment w:val="auto"/>
        <w:outlineLvl w:val="9"/>
        <w:rPr>
          <w:rFonts w:hint="eastAsia" w:ascii="黑体"/>
          <w:b/>
          <w:bCs/>
          <w:color w:val="auto"/>
          <w:sz w:val="21"/>
          <w:szCs w:val="21"/>
        </w:rPr>
      </w:pPr>
      <w:bookmarkStart w:id="17" w:name="_Toc29156"/>
      <w:bookmarkStart w:id="18" w:name="_Toc27772"/>
      <w:bookmarkStart w:id="19" w:name="_Toc520895297"/>
      <w:bookmarkStart w:id="20" w:name="_Toc347209681"/>
      <w:bookmarkStart w:id="21" w:name="_Toc347086852"/>
      <w:bookmarkStart w:id="22" w:name="_Toc347086986"/>
      <w:bookmarkStart w:id="23" w:name="_Toc17902424"/>
      <w:r>
        <w:rPr>
          <w:rFonts w:hint="eastAsia" w:ascii="黑体"/>
          <w:b/>
          <w:bCs/>
          <w:color w:val="auto"/>
          <w:sz w:val="21"/>
          <w:szCs w:val="21"/>
        </w:rPr>
        <w:t>3.1 商务资格条件</w:t>
      </w:r>
      <w:bookmarkEnd w:id="17"/>
      <w:bookmarkEnd w:id="18"/>
    </w:p>
    <w:p>
      <w:pPr>
        <w:pStyle w:val="7"/>
        <w:pageBreakBefore w:val="0"/>
        <w:kinsoku/>
        <w:wordWrap/>
        <w:overflowPunct/>
        <w:topLinePunct w:val="0"/>
        <w:bidi w:val="0"/>
        <w:adjustRightInd/>
        <w:snapToGrid/>
        <w:spacing w:line="360" w:lineRule="auto"/>
        <w:ind w:firstLine="0" w:firstLineChars="0"/>
        <w:textAlignment w:val="auto"/>
        <w:rPr>
          <w:rFonts w:hint="eastAsia" w:ascii="宋体" w:hAnsi="宋体" w:cs="宋体"/>
          <w:b w:val="0"/>
          <w:bCs w:val="0"/>
          <w:color w:val="auto"/>
        </w:rPr>
      </w:pPr>
      <w:bookmarkStart w:id="24" w:name="_Toc25315"/>
      <w:bookmarkStart w:id="25" w:name="_Toc18604"/>
      <w:r>
        <w:rPr>
          <w:rFonts w:hint="eastAsia" w:hAnsi="宋体" w:cs="宋体"/>
          <w:b w:val="0"/>
          <w:bCs w:val="0"/>
          <w:color w:val="auto"/>
          <w:lang w:val="en-US" w:eastAsia="zh-CN"/>
        </w:rPr>
        <w:t>3.1.1</w:t>
      </w:r>
      <w:r>
        <w:rPr>
          <w:rFonts w:hint="eastAsia" w:ascii="宋体" w:hAnsi="宋体" w:cs="宋体"/>
          <w:b w:val="0"/>
          <w:bCs w:val="0"/>
          <w:color w:val="auto"/>
        </w:rPr>
        <w:t>境内注册的独立法人，经营范围符合本项目要求，注册资金不低于200万元的制造商；（投标人须提供营业执照和国家企业信用信息公示系统经营范围截屏；投标人营业执照登记信息和经营范围须与“国家企业信用信息公示系统”信息一致，评审现场网络查询复核）</w:t>
      </w:r>
    </w:p>
    <w:p>
      <w:pPr>
        <w:pStyle w:val="7"/>
        <w:pageBreakBefore w:val="0"/>
        <w:kinsoku/>
        <w:wordWrap/>
        <w:overflowPunct/>
        <w:topLinePunct w:val="0"/>
        <w:bidi w:val="0"/>
        <w:adjustRightInd/>
        <w:snapToGrid/>
        <w:spacing w:line="360" w:lineRule="auto"/>
        <w:ind w:firstLine="0" w:firstLineChars="0"/>
        <w:textAlignment w:val="auto"/>
        <w:rPr>
          <w:rFonts w:hint="eastAsia" w:ascii="宋体" w:hAnsi="宋体" w:cs="宋体"/>
          <w:b w:val="0"/>
          <w:bCs w:val="0"/>
          <w:color w:val="auto"/>
        </w:rPr>
      </w:pPr>
      <w:r>
        <w:rPr>
          <w:rFonts w:hint="eastAsia" w:hAnsi="宋体" w:cs="宋体"/>
          <w:b w:val="0"/>
          <w:bCs w:val="0"/>
          <w:color w:val="auto"/>
          <w:lang w:val="en-US" w:eastAsia="zh-CN"/>
        </w:rPr>
        <w:t>3.1.2</w:t>
      </w:r>
      <w:r>
        <w:rPr>
          <w:rFonts w:hint="eastAsia" w:ascii="宋体" w:hAnsi="宋体" w:cs="宋体"/>
          <w:b w:val="0"/>
          <w:bCs w:val="0"/>
          <w:color w:val="auto"/>
        </w:rPr>
        <w:t>具有质量管理体系认证、环境管理体系认证和职业健康安全管理体系认证；（投标人须提供证书和中国国家认证认可监督管理委员会(http://www.cnca.gov.cn/）的认证结果查询截屏；评审现场网络查询复核）。</w:t>
      </w:r>
    </w:p>
    <w:p>
      <w:pPr>
        <w:pStyle w:val="7"/>
        <w:pageBreakBefore w:val="0"/>
        <w:kinsoku/>
        <w:wordWrap/>
        <w:overflowPunct/>
        <w:topLinePunct w:val="0"/>
        <w:bidi w:val="0"/>
        <w:adjustRightInd/>
        <w:snapToGrid/>
        <w:spacing w:line="360" w:lineRule="auto"/>
        <w:ind w:firstLine="0" w:firstLineChars="0"/>
        <w:textAlignment w:val="auto"/>
        <w:rPr>
          <w:rFonts w:hint="eastAsia" w:ascii="宋体" w:hAnsi="宋体" w:cs="宋体"/>
          <w:b w:val="0"/>
          <w:bCs w:val="0"/>
          <w:color w:val="auto"/>
        </w:rPr>
      </w:pPr>
      <w:r>
        <w:rPr>
          <w:rFonts w:hint="eastAsia" w:hAnsi="宋体" w:cs="宋体"/>
          <w:b w:val="0"/>
          <w:bCs w:val="0"/>
          <w:color w:val="auto"/>
          <w:lang w:val="en-US" w:eastAsia="zh-CN"/>
        </w:rPr>
        <w:t>3.1.3</w:t>
      </w:r>
      <w:r>
        <w:rPr>
          <w:rFonts w:hint="eastAsia" w:ascii="宋体" w:hAnsi="宋体" w:cs="宋体"/>
          <w:b w:val="0"/>
          <w:bCs w:val="0"/>
          <w:color w:val="auto"/>
        </w:rPr>
        <w:t>近三年内</w:t>
      </w:r>
      <w:r>
        <w:rPr>
          <w:rFonts w:hint="eastAsia"/>
          <w:color w:val="auto"/>
          <w:szCs w:val="21"/>
          <w:lang w:eastAsia="zh-CN"/>
        </w:rPr>
        <w:t>（</w:t>
      </w:r>
      <w:r>
        <w:rPr>
          <w:rFonts w:hint="eastAsia"/>
          <w:color w:val="auto"/>
          <w:szCs w:val="21"/>
          <w:lang w:val="en-US" w:eastAsia="zh-CN"/>
        </w:rPr>
        <w:t>2017年1月1日至投标截止时间</w:t>
      </w:r>
      <w:r>
        <w:rPr>
          <w:rFonts w:hint="eastAsia"/>
          <w:color w:val="auto"/>
          <w:szCs w:val="21"/>
          <w:lang w:eastAsia="zh-CN"/>
        </w:rPr>
        <w:t>）</w:t>
      </w:r>
      <w:r>
        <w:rPr>
          <w:rFonts w:hint="eastAsia" w:ascii="宋体" w:hAnsi="宋体" w:cs="宋体"/>
          <w:b w:val="0"/>
          <w:bCs w:val="0"/>
          <w:color w:val="auto"/>
        </w:rPr>
        <w:t>，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pPr>
        <w:pStyle w:val="7"/>
        <w:pageBreakBefore w:val="0"/>
        <w:kinsoku/>
        <w:wordWrap/>
        <w:overflowPunct/>
        <w:topLinePunct w:val="0"/>
        <w:bidi w:val="0"/>
        <w:adjustRightInd/>
        <w:snapToGrid/>
        <w:spacing w:line="360" w:lineRule="auto"/>
        <w:ind w:firstLine="0" w:firstLineChars="0"/>
        <w:textAlignment w:val="auto"/>
        <w:rPr>
          <w:rFonts w:hint="eastAsia" w:ascii="宋体" w:hAnsi="宋体" w:cs="宋体"/>
          <w:b w:val="0"/>
          <w:bCs w:val="0"/>
          <w:color w:val="auto"/>
        </w:rPr>
      </w:pPr>
      <w:r>
        <w:rPr>
          <w:rFonts w:hint="eastAsia" w:hAnsi="宋体" w:cs="宋体"/>
          <w:b w:val="0"/>
          <w:bCs w:val="0"/>
          <w:color w:val="auto"/>
          <w:lang w:val="en-US" w:eastAsia="zh-CN"/>
        </w:rPr>
        <w:t>3.1.4</w:t>
      </w:r>
      <w:r>
        <w:rPr>
          <w:rFonts w:hint="eastAsia" w:ascii="宋体" w:hAnsi="宋体" w:cs="宋体"/>
          <w:b w:val="0"/>
          <w:bCs w:val="0"/>
          <w:color w:val="auto"/>
        </w:rPr>
        <w:t>投标人在“中国执行信息公开网”(http://zxgk.court.gov.cn) 未被列为“失信被执行人”。（投标人须提“中国执行信息公开网”关于“失信被执行人”的查询截屏，评审现场网络查询复核）</w:t>
      </w:r>
    </w:p>
    <w:p>
      <w:pPr>
        <w:pStyle w:val="7"/>
        <w:pageBreakBefore w:val="0"/>
        <w:kinsoku/>
        <w:wordWrap/>
        <w:overflowPunct/>
        <w:topLinePunct w:val="0"/>
        <w:bidi w:val="0"/>
        <w:adjustRightInd/>
        <w:snapToGrid/>
        <w:spacing w:line="360" w:lineRule="auto"/>
        <w:ind w:firstLine="0" w:firstLineChars="0"/>
        <w:textAlignment w:val="auto"/>
        <w:rPr>
          <w:rFonts w:hint="eastAsia" w:ascii="宋体" w:hAnsi="宋体" w:cs="宋体"/>
          <w:b w:val="0"/>
          <w:bCs w:val="0"/>
          <w:color w:val="auto"/>
        </w:rPr>
      </w:pPr>
      <w:r>
        <w:rPr>
          <w:rFonts w:hint="eastAsia" w:hAnsi="宋体" w:cs="宋体"/>
          <w:b w:val="0"/>
          <w:bCs w:val="0"/>
          <w:color w:val="auto"/>
          <w:lang w:val="en-US" w:eastAsia="zh-CN"/>
        </w:rPr>
        <w:t>3.1.5</w:t>
      </w:r>
      <w:r>
        <w:rPr>
          <w:rFonts w:hint="eastAsia" w:ascii="宋体" w:hAnsi="宋体" w:cs="宋体"/>
          <w:b w:val="0"/>
          <w:bCs w:val="0"/>
          <w:color w:val="auto"/>
        </w:rPr>
        <w:t>提供会计师事务所出具标准的</w:t>
      </w:r>
      <w:r>
        <w:rPr>
          <w:rFonts w:hint="eastAsia" w:hAnsi="宋体" w:cs="宋体"/>
          <w:b w:val="0"/>
          <w:bCs w:val="0"/>
          <w:color w:val="auto"/>
          <w:lang w:val="en-US" w:eastAsia="zh-CN"/>
        </w:rPr>
        <w:t>2019</w:t>
      </w:r>
      <w:r>
        <w:rPr>
          <w:rFonts w:hint="eastAsia" w:ascii="宋体" w:hAnsi="宋体" w:cs="宋体"/>
          <w:b w:val="0"/>
          <w:bCs w:val="0"/>
          <w:color w:val="auto"/>
        </w:rPr>
        <w:t>年度无保留意见审计报告（附资产负债表），且资产负债率低于100%，当年新成立公司和高等院校，不予提供相关财务信息和审计报告。</w:t>
      </w:r>
    </w:p>
    <w:p>
      <w:pPr>
        <w:pStyle w:val="7"/>
        <w:pageBreakBefore w:val="0"/>
        <w:kinsoku/>
        <w:wordWrap/>
        <w:overflowPunct/>
        <w:topLinePunct w:val="0"/>
        <w:bidi w:val="0"/>
        <w:adjustRightInd/>
        <w:snapToGrid/>
        <w:spacing w:line="360" w:lineRule="auto"/>
        <w:ind w:firstLine="0" w:firstLineChars="0"/>
        <w:textAlignment w:val="auto"/>
        <w:rPr>
          <w:rFonts w:hint="eastAsia" w:ascii="宋体" w:hAnsi="宋体" w:cs="宋体"/>
          <w:b w:val="0"/>
          <w:bCs w:val="0"/>
          <w:color w:val="auto"/>
        </w:rPr>
      </w:pPr>
      <w:r>
        <w:rPr>
          <w:rFonts w:hint="eastAsia" w:hAnsi="宋体" w:cs="宋体"/>
          <w:b w:val="0"/>
          <w:bCs w:val="0"/>
          <w:color w:val="auto"/>
          <w:lang w:val="en-US" w:eastAsia="zh-CN"/>
        </w:rPr>
        <w:t>3.1.6</w:t>
      </w:r>
      <w:r>
        <w:rPr>
          <w:rFonts w:hint="eastAsia" w:ascii="宋体" w:hAnsi="宋体" w:cs="宋体"/>
          <w:b w:val="0"/>
          <w:bCs w:val="0"/>
          <w:color w:val="auto"/>
        </w:rPr>
        <w:t>本次招标不接受联合体投标，不允许分包；</w:t>
      </w:r>
    </w:p>
    <w:p>
      <w:pPr>
        <w:pStyle w:val="7"/>
        <w:pageBreakBefore w:val="0"/>
        <w:kinsoku/>
        <w:wordWrap/>
        <w:overflowPunct/>
        <w:topLinePunct w:val="0"/>
        <w:bidi w:val="0"/>
        <w:adjustRightInd/>
        <w:snapToGrid/>
        <w:spacing w:line="360" w:lineRule="auto"/>
        <w:ind w:firstLine="0" w:firstLineChars="0"/>
        <w:textAlignment w:val="auto"/>
        <w:rPr>
          <w:rFonts w:hint="eastAsia" w:ascii="宋体" w:hAnsi="宋体" w:cs="宋体"/>
          <w:b w:val="0"/>
          <w:bCs w:val="0"/>
          <w:color w:val="auto"/>
        </w:rPr>
      </w:pPr>
      <w:r>
        <w:rPr>
          <w:rFonts w:hint="eastAsia" w:hAnsi="宋体" w:cs="宋体"/>
          <w:b w:val="0"/>
          <w:bCs w:val="0"/>
          <w:color w:val="auto"/>
          <w:lang w:val="en-US" w:eastAsia="zh-CN"/>
        </w:rPr>
        <w:t>3.1.7</w:t>
      </w:r>
      <w:r>
        <w:rPr>
          <w:rFonts w:hint="eastAsia" w:ascii="宋体" w:hAnsi="宋体" w:cs="宋体"/>
          <w:b w:val="0"/>
          <w:bCs w:val="0"/>
          <w:color w:val="auto"/>
        </w:rPr>
        <w:t>没有处于被责令停业，投标资格被取消，财产被接管、冻结，破产状态；（承诺）</w:t>
      </w:r>
    </w:p>
    <w:p>
      <w:pPr>
        <w:pStyle w:val="7"/>
        <w:pageBreakBefore w:val="0"/>
        <w:kinsoku/>
        <w:wordWrap/>
        <w:overflowPunct/>
        <w:topLinePunct w:val="0"/>
        <w:bidi w:val="0"/>
        <w:adjustRightInd/>
        <w:snapToGrid/>
        <w:spacing w:line="360" w:lineRule="auto"/>
        <w:ind w:firstLine="0" w:firstLineChars="0"/>
        <w:textAlignment w:val="auto"/>
        <w:rPr>
          <w:rFonts w:hint="eastAsia" w:ascii="宋体" w:hAnsi="宋体" w:cs="宋体"/>
          <w:b w:val="0"/>
          <w:bCs w:val="0"/>
          <w:color w:val="auto"/>
        </w:rPr>
      </w:pPr>
      <w:r>
        <w:rPr>
          <w:rFonts w:hint="eastAsia" w:hAnsi="宋体" w:cs="宋体"/>
          <w:b w:val="0"/>
          <w:bCs w:val="0"/>
          <w:color w:val="auto"/>
          <w:lang w:val="en-US" w:eastAsia="zh-CN"/>
        </w:rPr>
        <w:t>3.1.8</w:t>
      </w:r>
      <w:r>
        <w:rPr>
          <w:rFonts w:hint="eastAsia" w:ascii="宋体" w:hAnsi="宋体" w:cs="宋体"/>
          <w:b w:val="0"/>
          <w:bCs w:val="0"/>
          <w:color w:val="auto"/>
        </w:rPr>
        <w:t>单位负责人为同一人或者控股、管理关系的不同单位，不得参加同一标段投标或者未划分标段的同一招标项目投标；（承诺）</w:t>
      </w:r>
    </w:p>
    <w:p>
      <w:pPr>
        <w:pStyle w:val="7"/>
        <w:pageBreakBefore w:val="0"/>
        <w:kinsoku/>
        <w:wordWrap/>
        <w:overflowPunct/>
        <w:topLinePunct w:val="0"/>
        <w:bidi w:val="0"/>
        <w:adjustRightInd/>
        <w:snapToGrid/>
        <w:spacing w:line="360" w:lineRule="auto"/>
        <w:ind w:firstLine="0" w:firstLineChars="0"/>
        <w:textAlignment w:val="auto"/>
        <w:rPr>
          <w:rFonts w:hint="eastAsia" w:ascii="宋体" w:hAnsi="宋体" w:cs="宋体"/>
          <w:b w:val="0"/>
          <w:bCs w:val="0"/>
          <w:color w:val="auto"/>
        </w:rPr>
      </w:pPr>
      <w:r>
        <w:rPr>
          <w:rFonts w:hint="eastAsia" w:hAnsi="宋体" w:cs="宋体"/>
          <w:b w:val="0"/>
          <w:bCs w:val="0"/>
          <w:color w:val="auto"/>
          <w:lang w:val="en-US" w:eastAsia="zh-CN"/>
        </w:rPr>
        <w:t>3.1.9</w:t>
      </w:r>
      <w:r>
        <w:rPr>
          <w:rFonts w:hint="eastAsia" w:ascii="宋体" w:hAnsi="宋体" w:cs="宋体"/>
          <w:b w:val="0"/>
          <w:bCs w:val="0"/>
          <w:color w:val="auto"/>
        </w:rPr>
        <w:t>近三年</w:t>
      </w:r>
      <w:r>
        <w:rPr>
          <w:rFonts w:hint="eastAsia"/>
          <w:color w:val="auto"/>
          <w:szCs w:val="21"/>
          <w:lang w:eastAsia="zh-CN"/>
        </w:rPr>
        <w:t>（</w:t>
      </w:r>
      <w:r>
        <w:rPr>
          <w:rFonts w:hint="eastAsia"/>
          <w:color w:val="auto"/>
          <w:szCs w:val="21"/>
          <w:lang w:val="en-US" w:eastAsia="zh-CN"/>
        </w:rPr>
        <w:t>2017年1月1日至投标截止时间</w:t>
      </w:r>
      <w:r>
        <w:rPr>
          <w:rFonts w:hint="eastAsia"/>
          <w:color w:val="auto"/>
          <w:szCs w:val="21"/>
          <w:lang w:eastAsia="zh-CN"/>
        </w:rPr>
        <w:t>）</w:t>
      </w:r>
      <w:r>
        <w:rPr>
          <w:rFonts w:hint="eastAsia" w:ascii="宋体" w:hAnsi="宋体" w:cs="宋体"/>
          <w:b w:val="0"/>
          <w:bCs w:val="0"/>
          <w:color w:val="auto"/>
        </w:rPr>
        <w:t>，在国家、行业、集团公司以及地方政府质量监督检查中无重大质量问题及事故；（承诺）</w:t>
      </w:r>
    </w:p>
    <w:p>
      <w:pPr>
        <w:pStyle w:val="7"/>
        <w:pageBreakBefore w:val="0"/>
        <w:kinsoku/>
        <w:wordWrap/>
        <w:overflowPunct/>
        <w:topLinePunct w:val="0"/>
        <w:bidi w:val="0"/>
        <w:adjustRightInd/>
        <w:snapToGrid/>
        <w:spacing w:line="360" w:lineRule="auto"/>
        <w:ind w:firstLine="0" w:firstLineChars="0"/>
        <w:textAlignment w:val="auto"/>
        <w:rPr>
          <w:rFonts w:hint="eastAsia" w:ascii="宋体" w:hAnsi="宋体" w:cs="宋体"/>
          <w:b w:val="0"/>
          <w:bCs w:val="0"/>
          <w:color w:val="auto"/>
        </w:rPr>
      </w:pPr>
      <w:r>
        <w:rPr>
          <w:rFonts w:hint="eastAsia" w:hAnsi="宋体" w:cs="宋体"/>
          <w:b w:val="0"/>
          <w:bCs w:val="0"/>
          <w:color w:val="auto"/>
          <w:lang w:val="en-US" w:eastAsia="zh-CN"/>
        </w:rPr>
        <w:t>3.1.10</w:t>
      </w:r>
      <w:r>
        <w:rPr>
          <w:rFonts w:hint="eastAsia" w:ascii="宋体" w:hAnsi="宋体" w:cs="宋体"/>
          <w:b w:val="0"/>
          <w:bCs w:val="0"/>
          <w:color w:val="auto"/>
        </w:rPr>
        <w:t>与集团公司及所属企业无重大法律纠纷；（承诺）</w:t>
      </w:r>
    </w:p>
    <w:p>
      <w:pPr>
        <w:pStyle w:val="7"/>
        <w:pageBreakBefore w:val="0"/>
        <w:kinsoku/>
        <w:wordWrap/>
        <w:overflowPunct/>
        <w:topLinePunct w:val="0"/>
        <w:bidi w:val="0"/>
        <w:adjustRightInd/>
        <w:snapToGrid/>
        <w:spacing w:line="360" w:lineRule="auto"/>
        <w:ind w:firstLine="0" w:firstLineChars="0"/>
        <w:textAlignment w:val="auto"/>
        <w:rPr>
          <w:rFonts w:hint="eastAsia" w:ascii="宋体" w:hAnsi="宋体" w:cs="宋体"/>
          <w:b w:val="0"/>
          <w:bCs w:val="0"/>
          <w:color w:val="auto"/>
        </w:rPr>
      </w:pPr>
      <w:r>
        <w:rPr>
          <w:rFonts w:hint="eastAsia" w:hAnsi="宋体" w:cs="宋体"/>
          <w:b w:val="0"/>
          <w:bCs w:val="0"/>
          <w:color w:val="auto"/>
          <w:lang w:val="en-US" w:eastAsia="zh-CN"/>
        </w:rPr>
        <w:t>3.1.11</w:t>
      </w:r>
      <w:r>
        <w:rPr>
          <w:rFonts w:hint="eastAsia" w:ascii="宋体" w:hAnsi="宋体" w:cs="宋体"/>
          <w:b w:val="0"/>
          <w:bCs w:val="0"/>
          <w:color w:val="auto"/>
        </w:rPr>
        <w:t>投标人有良好的商业信誉和健全的财务会计制度；（承诺）</w:t>
      </w:r>
    </w:p>
    <w:p>
      <w:pPr>
        <w:pageBreakBefore w:val="0"/>
        <w:kinsoku/>
        <w:wordWrap/>
        <w:overflowPunct/>
        <w:topLinePunct w:val="0"/>
        <w:bidi w:val="0"/>
        <w:adjustRightInd/>
        <w:snapToGrid/>
        <w:spacing w:before="0" w:beforeLines="0" w:after="0" w:afterLines="0" w:line="360" w:lineRule="auto"/>
        <w:textAlignment w:val="auto"/>
        <w:outlineLvl w:val="9"/>
        <w:rPr>
          <w:rFonts w:hint="eastAsia" w:ascii="宋体" w:hAnsi="宋体" w:cs="宋体"/>
          <w:b w:val="0"/>
          <w:bCs w:val="0"/>
          <w:color w:val="auto"/>
        </w:rPr>
      </w:pPr>
      <w:r>
        <w:rPr>
          <w:rFonts w:hint="eastAsia" w:hAnsi="宋体" w:cs="宋体"/>
          <w:b w:val="0"/>
          <w:bCs w:val="0"/>
          <w:color w:val="auto"/>
          <w:lang w:val="en-US" w:eastAsia="zh-CN"/>
        </w:rPr>
        <w:t>3.1.12</w:t>
      </w:r>
      <w:r>
        <w:rPr>
          <w:rFonts w:hint="eastAsia" w:ascii="宋体" w:hAnsi="宋体" w:cs="宋体"/>
          <w:b w:val="0"/>
          <w:bCs w:val="0"/>
          <w:color w:val="auto"/>
        </w:rPr>
        <w:t>法律、行政法规规定的其他条件；（承诺）</w:t>
      </w:r>
    </w:p>
    <w:p>
      <w:pPr>
        <w:pageBreakBefore w:val="0"/>
        <w:kinsoku/>
        <w:wordWrap/>
        <w:overflowPunct/>
        <w:topLinePunct w:val="0"/>
        <w:bidi w:val="0"/>
        <w:adjustRightInd/>
        <w:snapToGrid/>
        <w:spacing w:before="0" w:beforeLines="0" w:after="0" w:afterLines="0" w:line="360" w:lineRule="auto"/>
        <w:textAlignment w:val="auto"/>
        <w:outlineLvl w:val="9"/>
        <w:rPr>
          <w:rFonts w:hint="eastAsia" w:ascii="黑体"/>
          <w:b/>
          <w:bCs/>
          <w:color w:val="auto"/>
          <w:sz w:val="21"/>
          <w:szCs w:val="21"/>
        </w:rPr>
      </w:pPr>
      <w:r>
        <w:rPr>
          <w:rFonts w:hint="eastAsia" w:ascii="黑体"/>
          <w:b/>
          <w:bCs/>
          <w:color w:val="auto"/>
          <w:sz w:val="21"/>
          <w:szCs w:val="21"/>
        </w:rPr>
        <w:t>3.2 技术资格要求</w:t>
      </w:r>
      <w:bookmarkEnd w:id="24"/>
      <w:bookmarkEnd w:id="25"/>
    </w:p>
    <w:p>
      <w:pPr>
        <w:pageBreakBefore w:val="0"/>
        <w:kinsoku/>
        <w:wordWrap/>
        <w:overflowPunct/>
        <w:topLinePunct w:val="0"/>
        <w:bidi w:val="0"/>
        <w:adjustRightInd/>
        <w:snapToGrid/>
        <w:spacing w:line="360" w:lineRule="auto"/>
        <w:textAlignment w:val="auto"/>
        <w:rPr>
          <w:rFonts w:hint="eastAsia" w:ascii="宋体" w:hAnsi="宋体" w:cs="宋体"/>
          <w:b w:val="0"/>
          <w:bCs w:val="0"/>
          <w:color w:val="auto"/>
        </w:rPr>
      </w:pPr>
      <w:r>
        <w:rPr>
          <w:rFonts w:hint="eastAsia" w:hAnsi="宋体" w:cs="宋体"/>
          <w:b w:val="0"/>
          <w:bCs w:val="0"/>
          <w:color w:val="auto"/>
          <w:lang w:val="en-US" w:eastAsia="zh-CN"/>
        </w:rPr>
        <w:t>3.2.1</w:t>
      </w:r>
      <w:r>
        <w:rPr>
          <w:rFonts w:hint="eastAsia" w:ascii="宋体" w:hAnsi="宋体" w:cs="宋体"/>
          <w:b w:val="0"/>
          <w:bCs w:val="0"/>
          <w:color w:val="auto"/>
        </w:rPr>
        <w:t>投标人具有中华人民共和国防爆产品认证机构颁发的人体静电释放仪和人体静电释放报警器的防爆合格证，防爆等级不低于</w:t>
      </w:r>
      <w:r>
        <w:rPr>
          <w:rFonts w:hint="eastAsia" w:ascii="宋体" w:hAnsi="宋体" w:cs="宋体"/>
          <w:b w:val="0"/>
          <w:bCs w:val="0"/>
          <w:color w:val="auto"/>
          <w:highlight w:val="yellow"/>
        </w:rPr>
        <w:t>Ex ia IIC T6 Gb或Ex ib IIC T6 Gb</w:t>
      </w:r>
      <w:r>
        <w:rPr>
          <w:rFonts w:hint="eastAsia" w:ascii="宋体" w:hAnsi="宋体" w:cs="宋体"/>
          <w:b w:val="0"/>
          <w:bCs w:val="0"/>
          <w:color w:val="auto"/>
        </w:rPr>
        <w:t>。</w:t>
      </w:r>
    </w:p>
    <w:p>
      <w:pPr>
        <w:pageBreakBefore w:val="0"/>
        <w:kinsoku/>
        <w:wordWrap/>
        <w:overflowPunct/>
        <w:topLinePunct w:val="0"/>
        <w:bidi w:val="0"/>
        <w:adjustRightInd/>
        <w:snapToGrid/>
        <w:spacing w:line="360" w:lineRule="auto"/>
        <w:textAlignment w:val="auto"/>
        <w:rPr>
          <w:rFonts w:hint="eastAsia" w:ascii="宋体" w:hAnsi="宋体" w:eastAsia="宋体" w:cs="宋体"/>
          <w:b w:val="0"/>
          <w:bCs w:val="0"/>
          <w:szCs w:val="21"/>
          <w:lang w:val="zh-CN"/>
        </w:rPr>
      </w:pPr>
      <w:r>
        <w:rPr>
          <w:rFonts w:hint="eastAsia" w:ascii="宋体" w:hAnsi="宋体" w:cs="宋体"/>
          <w:b w:val="0"/>
          <w:bCs w:val="0"/>
          <w:color w:val="auto"/>
          <w:szCs w:val="21"/>
          <w:lang w:val="en-US" w:eastAsia="zh-CN"/>
        </w:rPr>
        <w:t>3.2.2</w:t>
      </w:r>
      <w:r>
        <w:rPr>
          <w:rFonts w:hint="eastAsia" w:ascii="宋体" w:hAnsi="宋体" w:cs="宋体"/>
          <w:b w:val="0"/>
          <w:bCs w:val="0"/>
          <w:szCs w:val="21"/>
          <w:lang w:val="zh-CN"/>
        </w:rPr>
        <w:t>投标人必须全部满足技术要求*条款，同时对非*条款作出承诺</w:t>
      </w:r>
      <w:r>
        <w:rPr>
          <w:rFonts w:hint="eastAsia" w:ascii="宋体" w:hAnsi="宋体" w:eastAsia="宋体" w:cs="宋体"/>
          <w:b w:val="0"/>
          <w:bCs w:val="0"/>
          <w:szCs w:val="21"/>
          <w:lang w:val="zh-CN"/>
        </w:rPr>
        <w:t>。</w:t>
      </w:r>
    </w:p>
    <w:p>
      <w:pPr>
        <w:rPr>
          <w:rFonts w:hint="eastAsia" w:ascii="Arial" w:hAnsi="Arial" w:eastAsia="黑体"/>
          <w:b/>
          <w:bCs/>
          <w:kern w:val="2"/>
          <w:sz w:val="32"/>
          <w:szCs w:val="32"/>
        </w:rPr>
      </w:pPr>
      <w:r>
        <w:rPr>
          <w:rFonts w:hint="eastAsia" w:ascii="Arial" w:hAnsi="Arial" w:eastAsia="黑体"/>
          <w:b/>
          <w:bCs/>
          <w:kern w:val="2"/>
          <w:sz w:val="32"/>
          <w:szCs w:val="32"/>
        </w:rPr>
        <w:t>4.招标文件的获取</w:t>
      </w:r>
      <w:bookmarkEnd w:id="19"/>
      <w:bookmarkEnd w:id="20"/>
      <w:bookmarkEnd w:id="21"/>
      <w:bookmarkEnd w:id="22"/>
      <w:bookmarkEnd w:id="23"/>
    </w:p>
    <w:p>
      <w:pPr>
        <w:spacing w:line="288" w:lineRule="auto"/>
        <w:ind w:firstLine="420" w:firstLineChars="200"/>
        <w:rPr>
          <w:rFonts w:hint="eastAsia" w:ascii="宋体" w:hAnsi="宋体" w:cs="宋体"/>
          <w:sz w:val="21"/>
          <w:szCs w:val="21"/>
        </w:rPr>
      </w:pPr>
      <w:r>
        <w:rPr>
          <w:rFonts w:hint="eastAsia" w:ascii="宋体" w:hAnsi="宋体" w:cs="宋体"/>
          <w:sz w:val="21"/>
          <w:szCs w:val="21"/>
        </w:rPr>
        <w:t>4.1 凡有意参加投标的潜在投标人，请于</w:t>
      </w:r>
      <w:r>
        <w:rPr>
          <w:rFonts w:hint="eastAsia" w:ascii="宋体" w:hAnsi="宋体" w:cs="宋体"/>
          <w:sz w:val="21"/>
          <w:szCs w:val="21"/>
          <w:highlight w:val="none"/>
        </w:rPr>
        <w:t>北京时间</w:t>
      </w:r>
      <w:r>
        <w:rPr>
          <w:rFonts w:hint="eastAsia" w:ascii="宋体" w:hAnsi="宋体" w:cs="宋体"/>
          <w:color w:val="0000C8"/>
          <w:sz w:val="21"/>
          <w:szCs w:val="21"/>
          <w:highlight w:val="none"/>
        </w:rPr>
        <w:t xml:space="preserve"> 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9</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9</w:t>
      </w:r>
      <w:r>
        <w:rPr>
          <w:rFonts w:hint="eastAsia" w:ascii="宋体" w:hAnsi="宋体" w:cs="宋体"/>
          <w:color w:val="0000C8"/>
          <w:sz w:val="21"/>
          <w:szCs w:val="21"/>
          <w:highlight w:val="none"/>
        </w:rPr>
        <w:t>日至 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9</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14</w:t>
      </w:r>
      <w:r>
        <w:rPr>
          <w:rFonts w:hint="eastAsia" w:ascii="宋体" w:hAnsi="宋体" w:cs="宋体"/>
          <w:color w:val="0000C8"/>
          <w:sz w:val="21"/>
          <w:szCs w:val="21"/>
          <w:highlight w:val="none"/>
        </w:rPr>
        <w:t>日</w:t>
      </w:r>
      <w:r>
        <w:rPr>
          <w:rFonts w:hint="eastAsia" w:ascii="宋体" w:hAnsi="宋体" w:cs="宋体"/>
          <w:sz w:val="21"/>
          <w:szCs w:val="21"/>
          <w:highlight w:val="none"/>
        </w:rPr>
        <w:t>内</w:t>
      </w:r>
      <w:r>
        <w:rPr>
          <w:rFonts w:hint="eastAsia" w:ascii="宋体" w:hAnsi="宋体" w:cs="宋体"/>
          <w:sz w:val="21"/>
          <w:szCs w:val="21"/>
        </w:rPr>
        <w:t xml:space="preserve">完成以下两个步骤：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①  办理本项目在线报名事宜。</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w:t>
      </w:r>
      <w:r>
        <w:rPr>
          <w:rFonts w:hint="eastAsia" w:ascii="宋体" w:hAnsi="宋体" w:cs="宋体"/>
          <w:sz w:val="21"/>
          <w:szCs w:val="21"/>
          <w:highlight w:val="none"/>
        </w:rPr>
        <w:t>请参考</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《电子招投标平台投标人账号注册及信息变更指南》，</w:t>
      </w:r>
      <w:r>
        <w:rPr>
          <w:rFonts w:hint="eastAsia" w:ascii="宋体" w:hAnsi="宋体" w:cs="宋体"/>
          <w:sz w:val="21"/>
          <w:szCs w:val="21"/>
        </w:rPr>
        <w:t>或拨打中国石油电子招标投标交易平台技术支持电话咨询。）</w:t>
      </w:r>
    </w:p>
    <w:p>
      <w:pPr>
        <w:spacing w:line="288" w:lineRule="auto"/>
        <w:rPr>
          <w:rFonts w:hint="eastAsia" w:ascii="宋体" w:hAnsi="宋体" w:cs="宋体"/>
          <w:sz w:val="21"/>
          <w:szCs w:val="21"/>
        </w:rPr>
      </w:pPr>
      <w:r>
        <w:rPr>
          <w:rFonts w:hint="eastAsia" w:ascii="宋体" w:hAnsi="宋体" w:cs="宋体"/>
          <w:color w:val="000000"/>
          <w:kern w:val="2"/>
          <w:sz w:val="21"/>
          <w:szCs w:val="21"/>
        </w:rPr>
        <w:t>注：</w:t>
      </w:r>
      <w:r>
        <w:rPr>
          <w:rFonts w:hint="eastAsia" w:ascii="宋体" w:hAnsi="宋体" w:cs="宋体"/>
          <w:sz w:val="21"/>
          <w:szCs w:val="21"/>
        </w:rPr>
        <w:t>中国石油电子招标投标交易平台：</w:t>
      </w:r>
      <w:r>
        <w:rPr>
          <w:rFonts w:hint="eastAsia" w:ascii="宋体" w:hAnsi="宋体" w:cs="宋体"/>
          <w:kern w:val="2"/>
          <w:sz w:val="21"/>
          <w:szCs w:val="21"/>
        </w:rPr>
        <w:t>http://ebidmanage.cnpcbidding.com/bidder/ebid/base/login.html</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②办理本项目标书费缴纳事宜。</w:t>
      </w:r>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333333"/>
          <w:sz w:val="21"/>
          <w:szCs w:val="21"/>
        </w:rPr>
        <w:t>登陆“中国石油电子招标投标交易平台”，选择“已报名项目”进行购买招标文件操作</w:t>
      </w:r>
      <w:r>
        <w:rPr>
          <w:rFonts w:hint="eastAsia" w:ascii="宋体" w:hAnsi="宋体" w:cs="宋体"/>
          <w:kern w:val="2"/>
          <w:sz w:val="21"/>
          <w:szCs w:val="21"/>
        </w:rPr>
        <w:t>。</w:t>
      </w:r>
      <w:r>
        <w:rPr>
          <w:rFonts w:hint="eastAsia" w:ascii="宋体" w:hAnsi="宋体" w:cs="宋体"/>
          <w:color w:val="FF0000"/>
          <w:kern w:val="2"/>
          <w:sz w:val="21"/>
          <w:szCs w:val="21"/>
        </w:rPr>
        <w:t>购买招标文件采用网上支付的方式，系统仅支持个人网银支付。</w:t>
      </w:r>
    </w:p>
    <w:p>
      <w:pPr>
        <w:spacing w:line="288" w:lineRule="auto"/>
        <w:ind w:firstLine="420" w:firstLineChars="200"/>
        <w:rPr>
          <w:rFonts w:hint="eastAsia" w:ascii="宋体" w:hAnsi="宋体" w:cs="宋体"/>
          <w:b/>
          <w:bCs/>
          <w:color w:val="000000"/>
          <w:kern w:val="2"/>
          <w:sz w:val="21"/>
          <w:szCs w:val="21"/>
        </w:rPr>
      </w:pPr>
      <w:r>
        <w:rPr>
          <w:rFonts w:hint="eastAsia" w:ascii="宋体" w:hAnsi="宋体" w:cs="宋体"/>
          <w:color w:val="000000"/>
          <w:kern w:val="2"/>
          <w:sz w:val="21"/>
          <w:szCs w:val="21"/>
        </w:rPr>
        <w:t>详细操作步骤参见</w:t>
      </w:r>
      <w:r>
        <w:rPr>
          <w:rFonts w:hint="eastAsia" w:ascii="宋体" w:hAnsi="宋体" w:cs="宋体"/>
          <w:b/>
          <w:bCs/>
          <w:color w:val="000000"/>
          <w:kern w:val="2"/>
          <w:sz w:val="21"/>
          <w:szCs w:val="21"/>
        </w:rPr>
        <w:t>《工具中心-投标人用户手册》。</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4.2招标文件每个标包售价为</w:t>
      </w:r>
      <w:r>
        <w:rPr>
          <w:rFonts w:hint="eastAsia" w:ascii="宋体" w:hAnsi="宋体" w:cs="宋体"/>
          <w:color w:val="0000C8"/>
          <w:sz w:val="21"/>
          <w:szCs w:val="21"/>
        </w:rPr>
        <w:t>500</w:t>
      </w:r>
      <w:r>
        <w:rPr>
          <w:rFonts w:hint="eastAsia" w:ascii="宋体" w:hAnsi="宋体" w:cs="宋体"/>
          <w:sz w:val="21"/>
          <w:szCs w:val="21"/>
        </w:rPr>
        <w:t xml:space="preserve">元人民币，请有意参加投标的潜在投标人确认自身资格条件是否满足投标人资格要求，售后不退，应自负其责。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 xml:space="preserve">4.3本次招标文件采取线上发售的方式。潜在投标人按照4.1条款要求购买招标文件后，可登录“中国石油电子招标投标交易平台”下载招标文件。 </w:t>
      </w:r>
    </w:p>
    <w:p>
      <w:pPr>
        <w:spacing w:line="288" w:lineRule="auto"/>
        <w:ind w:firstLine="420" w:firstLineChars="200"/>
        <w:rPr>
          <w:rFonts w:hint="eastAsia" w:ascii="宋体" w:hAnsi="宋体" w:cs="宋体"/>
          <w:bCs/>
          <w:sz w:val="21"/>
          <w:szCs w:val="21"/>
          <w:highlight w:val="none"/>
        </w:rPr>
      </w:pPr>
      <w:r>
        <w:rPr>
          <w:rFonts w:hint="eastAsia" w:ascii="宋体" w:hAnsi="宋体" w:cs="宋体"/>
          <w:sz w:val="21"/>
          <w:szCs w:val="21"/>
        </w:rPr>
        <w:t>4.4此次招标采购项目为全流程网上操作，供应商需要使用 U-key才能完成投标工作，因此要求所有参与本项目投标的供应商必须办理U-key。</w:t>
      </w:r>
      <w:r>
        <w:rPr>
          <w:rFonts w:hint="eastAsia" w:ascii="宋体" w:hAnsi="宋体" w:cs="宋体"/>
          <w:color w:val="333333"/>
          <w:sz w:val="21"/>
          <w:szCs w:val="21"/>
        </w:rPr>
        <w:t>中石油电子商务</w:t>
      </w:r>
      <w:r>
        <w:rPr>
          <w:rFonts w:hint="eastAsia" w:ascii="宋体" w:hAnsi="宋体" w:cs="宋体"/>
          <w:bCs/>
          <w:color w:val="000000"/>
          <w:sz w:val="21"/>
          <w:szCs w:val="21"/>
        </w:rPr>
        <w:t>U-Key办理</w:t>
      </w:r>
      <w:r>
        <w:rPr>
          <w:rFonts w:hint="eastAsia" w:ascii="宋体" w:hAnsi="宋体" w:cs="宋体"/>
          <w:bCs/>
          <w:color w:val="000000"/>
          <w:sz w:val="21"/>
          <w:szCs w:val="21"/>
          <w:highlight w:val="none"/>
        </w:rPr>
        <w:t>流程详见</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w:t>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HYPERLINK "https://www.cnpcbidding.com/html/1/javascript: void (0);"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电子招投标平台Ukey办理通知公告及操作手册</w:t>
      </w:r>
      <w:r>
        <w:rPr>
          <w:rFonts w:hint="eastAsia" w:ascii="宋体" w:hAnsi="宋体" w:cs="宋体"/>
          <w:sz w:val="21"/>
          <w:szCs w:val="21"/>
          <w:highlight w:val="none"/>
        </w:rPr>
        <w:fldChar w:fldCharType="end"/>
      </w:r>
      <w:r>
        <w:rPr>
          <w:rFonts w:hint="eastAsia" w:ascii="宋体" w:hAnsi="宋体" w:cs="宋体"/>
          <w:sz w:val="21"/>
          <w:szCs w:val="21"/>
          <w:highlight w:val="none"/>
        </w:rPr>
        <w:t>》</w:t>
      </w:r>
      <w:r>
        <w:rPr>
          <w:rFonts w:hint="eastAsia" w:ascii="宋体" w:hAnsi="宋体" w:cs="宋体"/>
          <w:color w:val="333333"/>
          <w:sz w:val="21"/>
          <w:szCs w:val="21"/>
          <w:highlight w:val="none"/>
        </w:rPr>
        <w:t>。</w:t>
      </w:r>
    </w:p>
    <w:p>
      <w:pPr>
        <w:spacing w:line="288" w:lineRule="auto"/>
        <w:ind w:firstLine="420" w:firstLineChars="200"/>
        <w:rPr>
          <w:rFonts w:hint="eastAsia" w:ascii="宋体" w:hAnsi="宋体" w:cs="宋体"/>
          <w:color w:val="000000"/>
          <w:kern w:val="2"/>
          <w:sz w:val="21"/>
          <w:szCs w:val="21"/>
          <w:highlight w:val="green"/>
        </w:rPr>
      </w:pPr>
      <w:r>
        <w:rPr>
          <w:rFonts w:hint="eastAsia" w:ascii="宋体" w:hAnsi="宋体" w:cs="宋体"/>
          <w:color w:val="000000"/>
          <w:kern w:val="2"/>
          <w:sz w:val="21"/>
          <w:szCs w:val="21"/>
        </w:rPr>
        <w:t>4.5 招标文件获取后，需每天登陆“中国石油电子招标投标交易平台”查看该项目澄清等相关信息。</w:t>
      </w:r>
    </w:p>
    <w:p>
      <w:pPr>
        <w:spacing w:line="288" w:lineRule="auto"/>
        <w:ind w:firstLine="420" w:firstLineChars="200"/>
        <w:rPr>
          <w:rFonts w:hint="eastAsia" w:ascii="宋体" w:hAnsi="宋体" w:cs="宋体"/>
          <w:color w:val="000000"/>
          <w:kern w:val="2"/>
          <w:sz w:val="21"/>
          <w:szCs w:val="21"/>
          <w:highlight w:val="none"/>
          <w:lang w:val="zh-CN"/>
        </w:rPr>
      </w:pPr>
      <w:r>
        <w:rPr>
          <w:rFonts w:hint="eastAsia" w:ascii="宋体" w:hAnsi="宋体" w:cs="宋体"/>
          <w:color w:val="000000"/>
          <w:kern w:val="2"/>
          <w:sz w:val="21"/>
          <w:szCs w:val="21"/>
          <w:highlight w:val="none"/>
        </w:rPr>
        <w:t>4.6 招标文件购买操作失败或其他系统问题，</w:t>
      </w:r>
      <w:r>
        <w:rPr>
          <w:rFonts w:hint="eastAsia" w:ascii="宋体" w:hAnsi="宋体" w:cs="宋体"/>
          <w:color w:val="000000"/>
          <w:kern w:val="2"/>
          <w:sz w:val="21"/>
          <w:szCs w:val="21"/>
          <w:highlight w:val="none"/>
          <w:lang w:val="zh-CN"/>
        </w:rPr>
        <w:t>可尝试更换其他银行的个人网银重新购买</w:t>
      </w:r>
      <w:r>
        <w:rPr>
          <w:rFonts w:hint="eastAsia" w:ascii="宋体" w:hAnsi="宋体" w:cs="宋体"/>
          <w:color w:val="000000"/>
          <w:kern w:val="2"/>
          <w:sz w:val="21"/>
          <w:szCs w:val="21"/>
          <w:highlight w:val="none"/>
          <w:lang w:eastAsia="zh-CN"/>
        </w:rPr>
        <w:t>或</w:t>
      </w:r>
      <w:r>
        <w:rPr>
          <w:rFonts w:hint="eastAsia" w:ascii="宋体" w:hAnsi="宋体" w:cs="宋体"/>
          <w:color w:val="000000"/>
          <w:kern w:val="2"/>
          <w:sz w:val="21"/>
          <w:szCs w:val="21"/>
          <w:highlight w:val="none"/>
        </w:rPr>
        <w:t>拨打中国石油电子招标投标交易平台技术支持电话咨询</w:t>
      </w:r>
      <w:r>
        <w:rPr>
          <w:rFonts w:hint="eastAsia" w:ascii="方正小标宋简体" w:hAnsi="方正小标宋简体" w:eastAsia="方正小标宋简体"/>
          <w:color w:val="000000"/>
          <w:sz w:val="24"/>
          <w:highlight w:val="none"/>
          <w:lang w:val="zh-CN"/>
        </w:rPr>
        <w:t>。</w:t>
      </w:r>
      <w:r>
        <w:rPr>
          <w:rFonts w:hint="eastAsia" w:ascii="宋体" w:hAnsi="宋体" w:cs="宋体"/>
          <w:color w:val="000000"/>
          <w:kern w:val="2"/>
          <w:sz w:val="21"/>
          <w:szCs w:val="21"/>
          <w:highlight w:val="none"/>
          <w:lang w:val="zh-CN"/>
        </w:rPr>
        <w:t>重复购买的，在本项目开标日之后可联系招标代理机构联系人退还重复购买费用。</w:t>
      </w:r>
    </w:p>
    <w:p>
      <w:pPr>
        <w:rPr>
          <w:rFonts w:hint="eastAsia" w:ascii="Arial" w:hAnsi="Arial" w:eastAsia="黑体"/>
          <w:b/>
          <w:bCs/>
          <w:kern w:val="2"/>
          <w:sz w:val="32"/>
          <w:szCs w:val="32"/>
        </w:rPr>
      </w:pPr>
      <w:bookmarkStart w:id="26" w:name="_Toc310252796"/>
      <w:bookmarkStart w:id="27" w:name="_Toc17902425"/>
      <w:bookmarkStart w:id="28" w:name="_Toc491332587"/>
      <w:bookmarkStart w:id="29" w:name="_Toc520895298"/>
      <w:bookmarkStart w:id="30" w:name="_Toc310252595"/>
      <w:r>
        <w:rPr>
          <w:rFonts w:hint="eastAsia" w:ascii="Arial" w:hAnsi="Arial" w:eastAsia="黑体"/>
          <w:b/>
          <w:bCs/>
          <w:kern w:val="2"/>
          <w:sz w:val="32"/>
          <w:szCs w:val="32"/>
        </w:rPr>
        <w:t>5.投标文件的递交</w:t>
      </w:r>
      <w:bookmarkEnd w:id="26"/>
      <w:bookmarkEnd w:id="27"/>
      <w:bookmarkEnd w:id="28"/>
      <w:bookmarkEnd w:id="29"/>
      <w:bookmarkEnd w:id="30"/>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000000"/>
          <w:kern w:val="2"/>
          <w:sz w:val="21"/>
          <w:szCs w:val="21"/>
        </w:rPr>
        <w:t>5.1本次招标采取网上递交电子投标文件的投标方式</w:t>
      </w:r>
      <w:r>
        <w:rPr>
          <w:rFonts w:hint="eastAsia" w:ascii="宋体" w:hAnsi="宋体" w:cs="宋体"/>
          <w:color w:val="000000"/>
          <w:kern w:val="2"/>
          <w:sz w:val="21"/>
          <w:szCs w:val="21"/>
          <w:lang w:eastAsia="zh-CN"/>
        </w:rPr>
        <w:t>；</w:t>
      </w:r>
      <w:r>
        <w:rPr>
          <w:rFonts w:hint="eastAsia" w:ascii="宋体" w:hAnsi="宋体" w:cs="宋体"/>
          <w:color w:val="000000"/>
          <w:kern w:val="2"/>
          <w:sz w:val="21"/>
          <w:szCs w:val="21"/>
        </w:rPr>
        <w:t xml:space="preserve"> </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5.2投标截止时间和开标时间（网上开标） ：</w:t>
      </w:r>
      <w:r>
        <w:rPr>
          <w:rFonts w:hint="eastAsia" w:ascii="宋体" w:hAnsi="宋体" w:cs="宋体"/>
          <w:color w:val="0000C8"/>
          <w:kern w:val="2"/>
          <w:sz w:val="21"/>
          <w:szCs w:val="21"/>
          <w:highlight w:val="none"/>
        </w:rPr>
        <w:t>20</w:t>
      </w:r>
      <w:r>
        <w:rPr>
          <w:rFonts w:hint="eastAsia" w:ascii="宋体" w:hAnsi="宋体" w:cs="宋体"/>
          <w:color w:val="0000C8"/>
          <w:kern w:val="2"/>
          <w:sz w:val="21"/>
          <w:szCs w:val="21"/>
          <w:highlight w:val="none"/>
          <w:lang w:val="en-US" w:eastAsia="zh-CN"/>
        </w:rPr>
        <w:t>20</w:t>
      </w:r>
      <w:r>
        <w:rPr>
          <w:rFonts w:hint="eastAsia" w:ascii="宋体" w:hAnsi="宋体" w:cs="宋体"/>
          <w:color w:val="0000C8"/>
          <w:kern w:val="2"/>
          <w:sz w:val="21"/>
          <w:szCs w:val="21"/>
          <w:highlight w:val="none"/>
        </w:rPr>
        <w:t>年</w:t>
      </w:r>
      <w:r>
        <w:rPr>
          <w:rFonts w:hint="eastAsia" w:ascii="宋体" w:hAnsi="宋体" w:cs="宋体"/>
          <w:color w:val="0000C8"/>
          <w:kern w:val="2"/>
          <w:sz w:val="21"/>
          <w:szCs w:val="21"/>
          <w:highlight w:val="none"/>
          <w:lang w:val="en-US" w:eastAsia="zh-CN"/>
        </w:rPr>
        <w:t>9</w:t>
      </w:r>
      <w:r>
        <w:rPr>
          <w:rFonts w:hint="eastAsia" w:ascii="宋体" w:hAnsi="宋体" w:cs="宋体"/>
          <w:color w:val="0000C8"/>
          <w:kern w:val="2"/>
          <w:sz w:val="21"/>
          <w:szCs w:val="21"/>
          <w:highlight w:val="none"/>
        </w:rPr>
        <w:t>月</w:t>
      </w:r>
      <w:r>
        <w:rPr>
          <w:rFonts w:hint="eastAsia" w:ascii="宋体" w:hAnsi="宋体" w:cs="宋体"/>
          <w:color w:val="0000C8"/>
          <w:kern w:val="2"/>
          <w:sz w:val="21"/>
          <w:szCs w:val="21"/>
          <w:highlight w:val="none"/>
          <w:lang w:val="en-US" w:eastAsia="zh-CN"/>
        </w:rPr>
        <w:t>30</w:t>
      </w:r>
      <w:r>
        <w:rPr>
          <w:rFonts w:hint="eastAsia" w:ascii="宋体" w:hAnsi="宋体" w:cs="宋体"/>
          <w:color w:val="0000C8"/>
          <w:kern w:val="2"/>
          <w:sz w:val="21"/>
          <w:szCs w:val="21"/>
          <w:highlight w:val="none"/>
        </w:rPr>
        <w:t>日</w:t>
      </w:r>
      <w:r>
        <w:rPr>
          <w:rFonts w:hint="eastAsia" w:ascii="宋体" w:hAnsi="宋体" w:cs="宋体"/>
          <w:color w:val="0000C8"/>
          <w:kern w:val="2"/>
          <w:sz w:val="21"/>
          <w:szCs w:val="21"/>
          <w:highlight w:val="none"/>
          <w:lang w:val="en-US" w:eastAsia="zh-CN"/>
        </w:rPr>
        <w:t>08</w:t>
      </w:r>
      <w:r>
        <w:rPr>
          <w:rFonts w:hint="eastAsia" w:ascii="宋体" w:hAnsi="宋体" w:cs="宋体"/>
          <w:color w:val="0000C8"/>
          <w:kern w:val="2"/>
          <w:sz w:val="21"/>
          <w:szCs w:val="21"/>
          <w:highlight w:val="none"/>
        </w:rPr>
        <w:t>时</w:t>
      </w:r>
      <w:r>
        <w:rPr>
          <w:rFonts w:hint="eastAsia" w:ascii="宋体" w:hAnsi="宋体" w:cs="宋体"/>
          <w:color w:val="0000C8"/>
          <w:kern w:val="2"/>
          <w:sz w:val="21"/>
          <w:szCs w:val="21"/>
          <w:highlight w:val="none"/>
          <w:lang w:val="en-US" w:eastAsia="zh-CN"/>
        </w:rPr>
        <w:t>30</w:t>
      </w:r>
      <w:r>
        <w:rPr>
          <w:rFonts w:hint="eastAsia" w:ascii="宋体" w:hAnsi="宋体" w:cs="宋体"/>
          <w:color w:val="0000C8"/>
          <w:kern w:val="2"/>
          <w:sz w:val="21"/>
          <w:szCs w:val="21"/>
          <w:highlight w:val="none"/>
        </w:rPr>
        <w:t>分</w:t>
      </w:r>
      <w:r>
        <w:rPr>
          <w:rFonts w:hint="eastAsia" w:ascii="宋体" w:hAnsi="宋体" w:cs="宋体"/>
          <w:color w:val="000000"/>
          <w:kern w:val="2"/>
          <w:sz w:val="21"/>
          <w:szCs w:val="21"/>
        </w:rPr>
        <w:t xml:space="preserve">（北京时间）； </w:t>
      </w:r>
    </w:p>
    <w:p>
      <w:pPr>
        <w:spacing w:line="288" w:lineRule="auto"/>
        <w:ind w:firstLine="420" w:firstLineChars="200"/>
        <w:rPr>
          <w:rFonts w:hint="eastAsia" w:ascii="宋体" w:hAnsi="宋体" w:eastAsia="宋体" w:cs="宋体"/>
          <w:color w:val="000000"/>
          <w:kern w:val="2"/>
          <w:sz w:val="21"/>
          <w:szCs w:val="21"/>
          <w:lang w:eastAsia="zh-CN"/>
        </w:rPr>
      </w:pPr>
      <w:r>
        <w:rPr>
          <w:rFonts w:hint="eastAsia" w:ascii="宋体" w:hAnsi="宋体" w:cs="宋体"/>
          <w:color w:val="000000"/>
          <w:kern w:val="2"/>
          <w:sz w:val="21"/>
          <w:szCs w:val="21"/>
        </w:rPr>
        <w:t>5.3开标地点（网上开标）：中国石油电子招标投标交易平台</w:t>
      </w:r>
      <w:r>
        <w:rPr>
          <w:rFonts w:hint="eastAsia" w:ascii="宋体" w:hAnsi="宋体" w:cs="宋体"/>
          <w:color w:val="000000"/>
          <w:kern w:val="2"/>
          <w:sz w:val="21"/>
          <w:szCs w:val="21"/>
          <w:lang w:eastAsia="zh-CN"/>
        </w:rPr>
        <w:t>。</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（投标人可进入“中国石油电子招标投标交易平台”开标大厅参加在线开标）</w:t>
      </w:r>
      <w:bookmarkStart w:id="31" w:name="_Toc491332588"/>
      <w:bookmarkStart w:id="32" w:name="_Toc520895299"/>
      <w:bookmarkStart w:id="33" w:name="_Toc17902426"/>
    </w:p>
    <w:p>
      <w:pPr>
        <w:rPr>
          <w:rFonts w:hint="eastAsia" w:ascii="Arial" w:hAnsi="Arial" w:eastAsia="黑体"/>
          <w:b/>
          <w:bCs/>
          <w:kern w:val="2"/>
          <w:sz w:val="32"/>
          <w:szCs w:val="32"/>
        </w:rPr>
      </w:pPr>
      <w:r>
        <w:rPr>
          <w:rFonts w:hint="eastAsia" w:ascii="Arial" w:hAnsi="Arial" w:eastAsia="黑体"/>
          <w:b/>
          <w:bCs/>
          <w:kern w:val="2"/>
          <w:sz w:val="32"/>
          <w:szCs w:val="32"/>
        </w:rPr>
        <w:t>6.发布公告的媒体</w:t>
      </w:r>
      <w:bookmarkEnd w:id="31"/>
      <w:bookmarkEnd w:id="32"/>
      <w:bookmarkEnd w:id="33"/>
    </w:p>
    <w:p>
      <w:pPr>
        <w:spacing w:line="288" w:lineRule="auto"/>
        <w:ind w:firstLine="420" w:firstLineChars="200"/>
        <w:rPr>
          <w:rFonts w:hint="eastAsia" w:hAnsi="宋体" w:cs="宋体"/>
          <w:bCs/>
          <w:kern w:val="2"/>
          <w:sz w:val="21"/>
          <w:szCs w:val="21"/>
        </w:rPr>
      </w:pPr>
      <w:r>
        <w:rPr>
          <w:rFonts w:hint="eastAsia" w:hAnsi="宋体" w:cs="宋体"/>
          <w:bCs/>
          <w:kern w:val="2"/>
          <w:sz w:val="21"/>
          <w:szCs w:val="21"/>
          <w:lang w:val="zh-CN"/>
        </w:rPr>
        <w:t>中国石油招标投标网</w:t>
      </w:r>
      <w:r>
        <w:rPr>
          <w:rFonts w:hint="eastAsia" w:hAnsi="宋体" w:cs="宋体"/>
          <w:bCs/>
          <w:kern w:val="2"/>
          <w:sz w:val="21"/>
          <w:szCs w:val="21"/>
        </w:rPr>
        <w:t>（</w:t>
      </w:r>
      <w:r>
        <w:rPr>
          <w:rFonts w:hint="eastAsia" w:ascii="宋体" w:hAnsi="宋体"/>
          <w:color w:val="000000"/>
          <w:sz w:val="21"/>
          <w:szCs w:val="21"/>
        </w:rPr>
        <w:t>https://www.cnpcbidding.com/</w:t>
      </w:r>
      <w:r>
        <w:rPr>
          <w:rFonts w:hint="eastAsia" w:hAnsi="宋体" w:cs="宋体"/>
          <w:bCs/>
          <w:kern w:val="2"/>
          <w:sz w:val="21"/>
          <w:szCs w:val="21"/>
        </w:rPr>
        <w:t>）</w:t>
      </w:r>
    </w:p>
    <w:p>
      <w:pPr>
        <w:rPr>
          <w:rFonts w:hint="eastAsia" w:ascii="Arial" w:hAnsi="Arial" w:eastAsia="黑体"/>
          <w:b/>
          <w:bCs/>
          <w:kern w:val="2"/>
          <w:sz w:val="32"/>
          <w:szCs w:val="32"/>
        </w:rPr>
      </w:pPr>
      <w:bookmarkStart w:id="34" w:name="_Toc17902427"/>
      <w:r>
        <w:rPr>
          <w:rFonts w:hint="eastAsia" w:ascii="Arial" w:hAnsi="Arial" w:eastAsia="黑体"/>
          <w:b/>
          <w:bCs/>
          <w:kern w:val="2"/>
          <w:sz w:val="32"/>
          <w:szCs w:val="32"/>
        </w:rPr>
        <w:t>7.联系方式</w:t>
      </w:r>
      <w:bookmarkEnd w:id="34"/>
      <w:r>
        <w:rPr>
          <w:rFonts w:hint="eastAsia"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color w:val="000000"/>
          <w:sz w:val="21"/>
          <w:szCs w:val="21"/>
        </w:rPr>
        <w:t>报名监督电话</w:t>
      </w:r>
      <w:r>
        <w:rPr>
          <w:rFonts w:hint="eastAsia" w:ascii="宋体" w:hAnsi="宋体" w:cs="宋体"/>
          <w:sz w:val="21"/>
          <w:szCs w:val="21"/>
        </w:rPr>
        <w:t>：0438-6278591</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  标  人：</w:t>
      </w:r>
      <w:r>
        <w:rPr>
          <w:rFonts w:hint="eastAsia" w:ascii="宋体" w:hAnsi="宋体" w:cs="宋体"/>
          <w:sz w:val="21"/>
          <w:szCs w:val="21"/>
        </w:rPr>
        <w:t>中国石油天然气股份有限公司吉林油田分公司</w:t>
      </w:r>
      <w:r>
        <w:rPr>
          <w:rFonts w:hint="eastAsia" w:ascii="宋体" w:hAnsi="宋体" w:cs="宋体"/>
          <w:bCs/>
          <w:color w:val="0000CC"/>
          <w:kern w:val="2"/>
          <w:sz w:val="21"/>
          <w:szCs w:val="21"/>
          <w:lang w:val="zh-CN"/>
        </w:rPr>
        <w:t xml:space="preserve">   </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sz w:val="21"/>
          <w:szCs w:val="21"/>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 xml:space="preserve">吉林省松原市宁江区沿江东路1219号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 138000 </w:t>
      </w:r>
    </w:p>
    <w:p>
      <w:pPr>
        <w:spacing w:line="288" w:lineRule="auto"/>
        <w:ind w:firstLine="420" w:firstLineChars="200"/>
        <w:rPr>
          <w:rFonts w:hint="eastAsia" w:ascii="宋体" w:hAnsi="宋体" w:cs="宋体"/>
          <w:bCs/>
          <w:color w:val="0000C8"/>
          <w:kern w:val="2"/>
          <w:sz w:val="21"/>
          <w:szCs w:val="21"/>
          <w:lang w:val="zh-CN"/>
        </w:rPr>
      </w:pPr>
      <w:r>
        <w:rPr>
          <w:rFonts w:hint="eastAsia" w:ascii="宋体" w:hAnsi="宋体" w:cs="宋体"/>
          <w:bCs/>
          <w:kern w:val="2"/>
          <w:sz w:val="21"/>
          <w:szCs w:val="21"/>
          <w:lang w:val="zh-CN"/>
        </w:rPr>
        <w:t>联  系  人：</w:t>
      </w:r>
      <w:r>
        <w:rPr>
          <w:rFonts w:hint="eastAsia" w:ascii="宋体" w:hAnsi="宋体" w:cs="宋体"/>
          <w:bCs/>
          <w:color w:val="0000C8"/>
          <w:kern w:val="2"/>
          <w:sz w:val="21"/>
          <w:szCs w:val="21"/>
          <w:lang w:val="zh-CN"/>
        </w:rPr>
        <w:t xml:space="preserve"> 姚先生</w:t>
      </w:r>
    </w:p>
    <w:p>
      <w:pPr>
        <w:spacing w:line="288" w:lineRule="auto"/>
        <w:ind w:firstLine="420" w:firstLineChars="200"/>
        <w:rPr>
          <w:rFonts w:hint="default" w:ascii="宋体" w:hAnsi="宋体" w:cs="宋体"/>
          <w:bCs/>
          <w:kern w:val="2"/>
          <w:sz w:val="21"/>
          <w:szCs w:val="21"/>
          <w:lang w:val="en-US"/>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21667</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招标代理机构：</w:t>
      </w:r>
      <w:r>
        <w:rPr>
          <w:rFonts w:hint="eastAsia" w:ascii="宋体" w:hAnsi="宋体" w:cs="宋体"/>
          <w:sz w:val="21"/>
          <w:szCs w:val="21"/>
        </w:rPr>
        <w:t>中国石油天然气股份有限公司吉林油田分公司招标中心</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吉林省松原市宁江区锦江大街267号</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编：138000 </w:t>
      </w:r>
    </w:p>
    <w:p>
      <w:pPr>
        <w:spacing w:line="288" w:lineRule="auto"/>
        <w:ind w:firstLine="420" w:firstLineChars="200"/>
        <w:rPr>
          <w:rFonts w:hint="default" w:ascii="宋体" w:hAnsi="宋体" w:eastAsia="宋体" w:cs="宋体"/>
          <w:bCs/>
          <w:kern w:val="2"/>
          <w:sz w:val="21"/>
          <w:szCs w:val="21"/>
          <w:lang w:val="en-US" w:eastAsia="zh-CN"/>
        </w:rPr>
      </w:pPr>
      <w:r>
        <w:rPr>
          <w:rFonts w:hint="eastAsia" w:ascii="宋体" w:hAnsi="宋体" w:cs="宋体"/>
          <w:bCs/>
          <w:kern w:val="2"/>
          <w:sz w:val="21"/>
          <w:szCs w:val="21"/>
          <w:lang w:val="zh-CN"/>
        </w:rPr>
        <w:t>联  系  人：岳</w:t>
      </w:r>
      <w:r>
        <w:rPr>
          <w:rFonts w:hint="eastAsia" w:ascii="宋体" w:hAnsi="宋体" w:cs="宋体"/>
          <w:bCs/>
          <w:color w:val="0000C8"/>
          <w:kern w:val="2"/>
          <w:sz w:val="21"/>
          <w:szCs w:val="21"/>
          <w:lang w:val="zh-CN"/>
        </w:rPr>
        <w:t xml:space="preserve">女士 </w:t>
      </w:r>
      <w:r>
        <w:rPr>
          <w:rFonts w:hint="eastAsia" w:ascii="宋体" w:hAnsi="宋体" w:cs="宋体"/>
          <w:bCs/>
          <w:color w:val="0000C8"/>
          <w:kern w:val="2"/>
          <w:sz w:val="21"/>
          <w:szCs w:val="21"/>
          <w:lang w:val="en-US" w:eastAsia="zh-CN"/>
        </w:rPr>
        <w:t>/王先生</w:t>
      </w:r>
    </w:p>
    <w:p>
      <w:pPr>
        <w:spacing w:line="288" w:lineRule="auto"/>
        <w:ind w:firstLine="420" w:firstLineChars="200"/>
        <w:rPr>
          <w:rFonts w:hint="default" w:ascii="宋体" w:hAnsi="宋体" w:eastAsia="宋体" w:cs="宋体"/>
          <w:bCs/>
          <w:color w:val="0000CC"/>
          <w:kern w:val="2"/>
          <w:sz w:val="21"/>
          <w:szCs w:val="21"/>
          <w:lang w:val="en-US" w:eastAsia="zh-CN"/>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78511</w:t>
      </w:r>
      <w:r>
        <w:rPr>
          <w:rFonts w:hint="eastAsia" w:ascii="宋体" w:hAnsi="宋体" w:cs="宋体"/>
          <w:bCs/>
          <w:color w:val="0000C8"/>
          <w:kern w:val="2"/>
          <w:sz w:val="21"/>
          <w:szCs w:val="21"/>
          <w:lang w:val="zh-CN"/>
        </w:rPr>
        <w:t xml:space="preserve"> /62</w:t>
      </w:r>
      <w:r>
        <w:rPr>
          <w:rFonts w:hint="eastAsia" w:ascii="宋体" w:hAnsi="宋体" w:cs="宋体"/>
          <w:bCs/>
          <w:color w:val="0000C8"/>
          <w:kern w:val="2"/>
          <w:sz w:val="21"/>
          <w:szCs w:val="21"/>
          <w:lang w:val="en-US" w:eastAsia="zh-CN"/>
        </w:rPr>
        <w:t>78510</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中国石油电子招标投标交易平台技术支持</w:t>
      </w:r>
      <w:r>
        <w:rPr>
          <w:rFonts w:hint="eastAsia" w:ascii="宋体" w:hAnsi="宋体" w:cs="宋体"/>
          <w:bCs/>
          <w:kern w:val="2"/>
          <w:sz w:val="21"/>
          <w:szCs w:val="21"/>
          <w:highlight w:val="none"/>
          <w:lang w:val="zh-CN"/>
        </w:rPr>
        <w:t>电话：</w:t>
      </w:r>
      <w:r>
        <w:rPr>
          <w:rFonts w:hint="eastAsia" w:ascii="宋体" w:hAnsi="宋体" w:cs="宋体"/>
          <w:sz w:val="21"/>
          <w:szCs w:val="21"/>
          <w:highlight w:val="none"/>
        </w:rPr>
        <w:t>40</w:t>
      </w:r>
      <w:r>
        <w:rPr>
          <w:rFonts w:hint="eastAsia" w:ascii="宋体" w:hAnsi="宋体" w:cs="宋体"/>
          <w:sz w:val="21"/>
          <w:szCs w:val="21"/>
        </w:rPr>
        <w:t>08800114根据语音提示说出“电子招标”（服务时间8:30-17:30），</w:t>
      </w:r>
      <w:r>
        <w:rPr>
          <w:rFonts w:hint="eastAsia" w:ascii="宋体" w:hAnsi="宋体" w:cs="宋体"/>
          <w:bCs/>
          <w:kern w:val="2"/>
          <w:sz w:val="21"/>
          <w:szCs w:val="21"/>
          <w:lang w:val="zh-CN"/>
        </w:rPr>
        <w:t>如有疑问请在工作时间咨询。</w:t>
      </w:r>
    </w:p>
    <w:p>
      <w:pPr>
        <w:rPr>
          <w:rFonts w:hint="eastAsia" w:ascii="Arial" w:hAnsi="Arial" w:eastAsia="黑体"/>
          <w:b/>
          <w:bCs/>
          <w:kern w:val="2"/>
          <w:sz w:val="32"/>
          <w:szCs w:val="32"/>
          <w:lang w:val="zh-CN" w:eastAsia="zh-CN"/>
        </w:rPr>
      </w:pPr>
      <w:r>
        <w:rPr>
          <w:rFonts w:hint="eastAsia" w:ascii="Arial" w:hAnsi="Arial" w:eastAsia="黑体"/>
          <w:b/>
          <w:bCs/>
          <w:kern w:val="2"/>
          <w:sz w:val="32"/>
          <w:szCs w:val="32"/>
          <w:lang w:val="en-US" w:eastAsia="zh-CN"/>
        </w:rPr>
        <w:t>8</w:t>
      </w:r>
      <w:r>
        <w:rPr>
          <w:rFonts w:hint="eastAsia" w:ascii="Arial" w:hAnsi="Arial" w:eastAsia="黑体"/>
          <w:b/>
          <w:bCs/>
          <w:kern w:val="2"/>
          <w:sz w:val="32"/>
          <w:szCs w:val="32"/>
          <w:lang w:val="zh-CN" w:eastAsia="zh-CN"/>
        </w:rPr>
        <w:t>.其他</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疫情期间不接待任何投标人来访，有问题可以通过信息化手段解决。疫情期间不允许投标人来开标现场。</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招标公告中未尽事宜或与招标文件不符之处，以招标文件为准。</w:t>
      </w:r>
    </w:p>
    <w:p>
      <w:pPr>
        <w:spacing w:line="288" w:lineRule="auto"/>
        <w:rPr>
          <w:rFonts w:hint="eastAsia" w:ascii="宋体" w:hAnsi="宋体" w:cs="宋体"/>
          <w:sz w:val="21"/>
          <w:szCs w:val="21"/>
        </w:rPr>
      </w:pPr>
    </w:p>
    <w:p>
      <w:pPr>
        <w:spacing w:line="288" w:lineRule="auto"/>
        <w:rPr>
          <w:rFonts w:hint="eastAsia" w:ascii="宋体" w:hAnsi="宋体" w:cs="宋体"/>
          <w:sz w:val="21"/>
          <w:szCs w:val="21"/>
        </w:rPr>
      </w:pPr>
    </w:p>
    <w:p>
      <w:pPr>
        <w:overflowPunct w:val="0"/>
        <w:spacing w:line="288" w:lineRule="auto"/>
        <w:ind w:right="420"/>
        <w:jc w:val="right"/>
        <w:rPr>
          <w:rFonts w:hint="eastAsia" w:ascii="宋体" w:hAnsi="宋体" w:cs="宋体"/>
          <w:sz w:val="21"/>
          <w:szCs w:val="21"/>
        </w:rPr>
      </w:pPr>
      <w:r>
        <w:rPr>
          <w:rFonts w:hint="eastAsia" w:ascii="宋体" w:hAnsi="宋体" w:cs="宋体"/>
          <w:sz w:val="21"/>
          <w:szCs w:val="21"/>
        </w:rPr>
        <w:t>中国石油吉林油田公司招标中心</w:t>
      </w:r>
    </w:p>
    <w:p>
      <w:pPr>
        <w:overflowPunct w:val="0"/>
        <w:spacing w:line="288" w:lineRule="auto"/>
        <w:ind w:right="420" w:firstLine="6090" w:firstLineChars="2900"/>
        <w:jc w:val="right"/>
        <w:rPr>
          <w:rFonts w:hint="eastAsia" w:ascii="宋体" w:hAnsi="宋体" w:cs="宋体"/>
          <w:color w:val="0000CC"/>
          <w:sz w:val="21"/>
          <w:szCs w:val="21"/>
          <w:highlight w:val="none"/>
        </w:rPr>
      </w:pPr>
      <w:r>
        <w:rPr>
          <w:rFonts w:hint="eastAsia" w:ascii="宋体" w:hAnsi="宋体" w:cs="宋体"/>
          <w:sz w:val="21"/>
          <w:szCs w:val="21"/>
          <w:highlight w:val="none"/>
        </w:rPr>
        <w:t xml:space="preserve">  </w:t>
      </w:r>
      <w:r>
        <w:rPr>
          <w:rFonts w:hint="eastAsia" w:ascii="宋体" w:hAnsi="宋体" w:cs="宋体"/>
          <w:color w:val="0000CC"/>
          <w:sz w:val="21"/>
          <w:szCs w:val="21"/>
          <w:highlight w:val="none"/>
        </w:rPr>
        <w:t xml:space="preserve"> </w:t>
      </w:r>
      <w:r>
        <w:rPr>
          <w:rFonts w:hint="eastAsia" w:ascii="宋体" w:hAnsi="宋体" w:cs="宋体"/>
          <w:color w:val="0000C8"/>
          <w:sz w:val="21"/>
          <w:szCs w:val="21"/>
          <w:highlight w:val="none"/>
        </w:rPr>
        <w:t>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9</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8</w:t>
      </w:r>
      <w:r>
        <w:rPr>
          <w:rFonts w:hint="eastAsia" w:ascii="宋体" w:hAnsi="宋体" w:cs="宋体"/>
          <w:color w:val="0000C8"/>
          <w:sz w:val="21"/>
          <w:szCs w:val="21"/>
          <w:highlight w:val="none"/>
        </w:rPr>
        <w:t>日</w:t>
      </w:r>
    </w:p>
    <w:p>
      <w:pPr>
        <w:overflowPunct w:val="0"/>
        <w:spacing w:line="288" w:lineRule="auto"/>
        <w:ind w:right="420" w:firstLine="6380" w:firstLineChars="2900"/>
        <w:rPr>
          <w:color w:val="0000CC"/>
        </w:rPr>
      </w:pPr>
    </w:p>
    <w:p>
      <w:pPr>
        <w:spacing w:line="288" w:lineRule="auto"/>
        <w:rPr>
          <w:rFonts w:hint="eastAsia" w:ascii="宋体" w:hAnsi="宋体" w:cs="宋体"/>
          <w:sz w:val="21"/>
          <w:szCs w:val="21"/>
        </w:rPr>
      </w:pPr>
      <w:r>
        <w:rPr>
          <w:rFonts w:hint="eastAsia" w:hAnsi="宋体" w:cs="宋体"/>
          <w:szCs w:val="21"/>
        </w:rPr>
        <w:t xml:space="preserve">        </w:t>
      </w:r>
      <w:r>
        <w:rPr>
          <w:rFonts w:hint="eastAsia" w:ascii="宋体" w:hAnsi="宋体" w:cs="宋体"/>
          <w:sz w:val="21"/>
          <w:szCs w:val="21"/>
        </w:rPr>
        <w:t>附件1：货物需求一览表</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3</w:t>
      </w:r>
      <w:r>
        <w:rPr>
          <w:rFonts w:hint="eastAsia" w:ascii="宋体" w:hAnsi="宋体" w:cs="宋体"/>
          <w:sz w:val="21"/>
          <w:szCs w:val="21"/>
        </w:rPr>
        <w:t>：《中国石油天然气集团有限公司投标人失信行为管理办法（试行）》</w:t>
      </w:r>
      <w:bookmarkStart w:id="35" w:name="page14"/>
      <w:bookmarkEnd w:id="35"/>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：投标保证金提交流程</w:t>
      </w:r>
    </w:p>
    <w:p>
      <w:pPr>
        <w:spacing w:line="288" w:lineRule="auto"/>
        <w:outlineLvl w:val="2"/>
        <w:rPr>
          <w:rFonts w:hint="eastAsia" w:hAnsi="宋体" w:cs="宋体"/>
          <w:szCs w:val="21"/>
        </w:rPr>
      </w:pPr>
      <w:r>
        <w:rPr>
          <w:rFonts w:hint="eastAsia" w:ascii="黑体" w:hAnsi="宋体" w:eastAsia="黑体"/>
          <w:bCs/>
          <w:kern w:val="2"/>
          <w:sz w:val="28"/>
          <w:szCs w:val="28"/>
        </w:rPr>
        <w:br w:type="page"/>
      </w:r>
      <w:bookmarkStart w:id="36" w:name="_Toc22403"/>
      <w:r>
        <w:rPr>
          <w:rFonts w:hint="eastAsia" w:ascii="黑体" w:hAnsi="宋体" w:eastAsia="黑体"/>
          <w:bCs/>
          <w:kern w:val="2"/>
          <w:sz w:val="28"/>
          <w:szCs w:val="28"/>
        </w:rPr>
        <w:t>附件1：货物需求一览表</w:t>
      </w:r>
      <w:bookmarkEnd w:id="36"/>
    </w:p>
    <w:p>
      <w:pPr>
        <w:spacing w:after="120" w:afterLines="50" w:line="288" w:lineRule="auto"/>
        <w:jc w:val="center"/>
        <w:rPr>
          <w:rFonts w:hint="eastAsia" w:ascii="宋体" w:hAnsi="宋体" w:cs="宋体"/>
          <w:b/>
          <w:sz w:val="21"/>
          <w:szCs w:val="21"/>
        </w:rPr>
      </w:pPr>
      <w:r>
        <w:rPr>
          <w:rFonts w:hint="eastAsia" w:ascii="宋体" w:hAnsi="宋体" w:cs="宋体"/>
          <w:b/>
          <w:sz w:val="21"/>
          <w:szCs w:val="21"/>
        </w:rPr>
        <w:t>货物需求一览表</w:t>
      </w:r>
    </w:p>
    <w:tbl>
      <w:tblPr>
        <w:tblStyle w:val="6"/>
        <w:tblW w:w="7554" w:type="dxa"/>
        <w:jc w:val="center"/>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288"/>
        <w:gridCol w:w="536"/>
        <w:gridCol w:w="537"/>
        <w:gridCol w:w="1141"/>
        <w:gridCol w:w="899"/>
        <w:gridCol w:w="896"/>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79" w:hRule="atLeast"/>
          <w:jc w:val="center"/>
        </w:trPr>
        <w:tc>
          <w:tcPr>
            <w:tcW w:w="536" w:type="dxa"/>
            <w:vAlign w:val="center"/>
          </w:tcPr>
          <w:p>
            <w:pPr>
              <w:widowControl/>
              <w:spacing w:line="240" w:lineRule="auto"/>
              <w:jc w:val="center"/>
              <w:rPr>
                <w:rFonts w:ascii="宋体" w:hAnsi="宋体" w:cs="宋体"/>
                <w:color w:val="000000"/>
                <w:sz w:val="18"/>
                <w:szCs w:val="18"/>
              </w:rPr>
            </w:pPr>
            <w:r>
              <w:rPr>
                <w:rFonts w:hint="eastAsia" w:ascii="宋体" w:hAnsi="宋体" w:cs="宋体"/>
                <w:color w:val="000000"/>
                <w:sz w:val="18"/>
                <w:szCs w:val="18"/>
              </w:rPr>
              <w:t>序号</w:t>
            </w:r>
          </w:p>
        </w:tc>
        <w:tc>
          <w:tcPr>
            <w:tcW w:w="2288" w:type="dxa"/>
            <w:vAlign w:val="center"/>
          </w:tcPr>
          <w:p>
            <w:pPr>
              <w:widowControl/>
              <w:spacing w:line="240" w:lineRule="auto"/>
              <w:jc w:val="center"/>
              <w:rPr>
                <w:rFonts w:ascii="宋体" w:hAnsi="宋体" w:cs="宋体"/>
                <w:color w:val="000000"/>
                <w:sz w:val="18"/>
                <w:szCs w:val="18"/>
              </w:rPr>
            </w:pPr>
            <w:r>
              <w:rPr>
                <w:rFonts w:hint="eastAsia" w:ascii="宋体" w:hAnsi="宋体" w:cs="宋体"/>
                <w:color w:val="000000"/>
                <w:sz w:val="18"/>
                <w:szCs w:val="18"/>
              </w:rPr>
              <w:t>物料描述</w:t>
            </w:r>
          </w:p>
        </w:tc>
        <w:tc>
          <w:tcPr>
            <w:tcW w:w="536" w:type="dxa"/>
            <w:vAlign w:val="center"/>
          </w:tcPr>
          <w:p>
            <w:pPr>
              <w:widowControl/>
              <w:spacing w:line="240" w:lineRule="auto"/>
              <w:jc w:val="center"/>
              <w:rPr>
                <w:rFonts w:hint="eastAsia" w:ascii="宋体" w:hAnsi="宋体" w:cs="宋体"/>
                <w:color w:val="000000"/>
                <w:sz w:val="18"/>
                <w:szCs w:val="18"/>
              </w:rPr>
            </w:pPr>
            <w:r>
              <w:rPr>
                <w:rFonts w:hint="eastAsia" w:ascii="宋体" w:hAnsi="宋体" w:cs="宋体"/>
                <w:color w:val="000000"/>
                <w:sz w:val="18"/>
                <w:szCs w:val="18"/>
              </w:rPr>
              <w:t>计量</w:t>
            </w:r>
          </w:p>
          <w:p>
            <w:pPr>
              <w:widowControl/>
              <w:spacing w:line="240" w:lineRule="auto"/>
              <w:jc w:val="center"/>
              <w:rPr>
                <w:rFonts w:ascii="宋体" w:hAnsi="宋体" w:cs="宋体"/>
                <w:color w:val="000000"/>
                <w:sz w:val="18"/>
                <w:szCs w:val="18"/>
              </w:rPr>
            </w:pPr>
            <w:r>
              <w:rPr>
                <w:rFonts w:hint="eastAsia" w:ascii="宋体" w:hAnsi="宋体" w:cs="宋体"/>
                <w:color w:val="000000"/>
                <w:sz w:val="18"/>
                <w:szCs w:val="18"/>
              </w:rPr>
              <w:t>单位</w:t>
            </w:r>
          </w:p>
        </w:tc>
        <w:tc>
          <w:tcPr>
            <w:tcW w:w="537" w:type="dxa"/>
            <w:vAlign w:val="center"/>
          </w:tcPr>
          <w:p>
            <w:pPr>
              <w:widowControl/>
              <w:spacing w:line="240" w:lineRule="auto"/>
              <w:jc w:val="center"/>
              <w:rPr>
                <w:rFonts w:ascii="宋体" w:hAnsi="宋体" w:cs="宋体"/>
                <w:color w:val="000000"/>
                <w:sz w:val="18"/>
                <w:szCs w:val="18"/>
              </w:rPr>
            </w:pPr>
            <w:r>
              <w:rPr>
                <w:rFonts w:hint="eastAsia" w:ascii="宋体" w:hAnsi="宋体" w:cs="宋体"/>
                <w:color w:val="000000"/>
                <w:sz w:val="18"/>
                <w:szCs w:val="18"/>
              </w:rPr>
              <w:t>数量</w:t>
            </w:r>
          </w:p>
        </w:tc>
        <w:tc>
          <w:tcPr>
            <w:tcW w:w="1141" w:type="dxa"/>
            <w:vAlign w:val="center"/>
          </w:tcPr>
          <w:p>
            <w:pPr>
              <w:widowControl/>
              <w:spacing w:line="240" w:lineRule="auto"/>
              <w:jc w:val="center"/>
              <w:rPr>
                <w:rFonts w:ascii="宋体" w:hAnsi="宋体" w:cs="宋体"/>
                <w:color w:val="000000"/>
                <w:sz w:val="18"/>
                <w:szCs w:val="18"/>
              </w:rPr>
            </w:pPr>
            <w:r>
              <w:rPr>
                <w:rFonts w:hint="eastAsia" w:ascii="宋体" w:hAnsi="宋体" w:cs="宋体"/>
                <w:color w:val="000000"/>
                <w:sz w:val="18"/>
                <w:szCs w:val="18"/>
              </w:rPr>
              <w:t>技术标准及要求</w:t>
            </w:r>
          </w:p>
        </w:tc>
        <w:tc>
          <w:tcPr>
            <w:tcW w:w="899" w:type="dxa"/>
            <w:vAlign w:val="center"/>
          </w:tcPr>
          <w:p>
            <w:pPr>
              <w:widowControl/>
              <w:spacing w:line="240" w:lineRule="auto"/>
              <w:jc w:val="center"/>
              <w:rPr>
                <w:rFonts w:ascii="宋体" w:hAnsi="宋体" w:cs="宋体"/>
                <w:color w:val="000000"/>
                <w:sz w:val="18"/>
                <w:szCs w:val="18"/>
              </w:rPr>
            </w:pPr>
            <w:r>
              <w:rPr>
                <w:rFonts w:hint="eastAsia" w:ascii="宋体" w:hAnsi="宋体" w:cs="宋体"/>
                <w:color w:val="000000"/>
                <w:sz w:val="18"/>
                <w:szCs w:val="18"/>
              </w:rPr>
              <w:t>交货日期</w:t>
            </w:r>
          </w:p>
        </w:tc>
        <w:tc>
          <w:tcPr>
            <w:tcW w:w="896" w:type="dxa"/>
            <w:vAlign w:val="center"/>
          </w:tcPr>
          <w:p>
            <w:pPr>
              <w:widowControl/>
              <w:spacing w:line="240" w:lineRule="auto"/>
              <w:jc w:val="center"/>
              <w:rPr>
                <w:rFonts w:ascii="宋体" w:hAnsi="宋体" w:cs="宋体"/>
                <w:color w:val="000000"/>
                <w:sz w:val="18"/>
                <w:szCs w:val="18"/>
              </w:rPr>
            </w:pPr>
            <w:r>
              <w:rPr>
                <w:rFonts w:hint="eastAsia" w:ascii="宋体" w:hAnsi="宋体" w:cs="宋体"/>
                <w:color w:val="000000"/>
                <w:sz w:val="18"/>
                <w:szCs w:val="18"/>
              </w:rPr>
              <w:t>交货地点</w:t>
            </w:r>
          </w:p>
        </w:tc>
        <w:tc>
          <w:tcPr>
            <w:tcW w:w="721" w:type="dxa"/>
            <w:vAlign w:val="center"/>
          </w:tcPr>
          <w:p>
            <w:pPr>
              <w:widowControl/>
              <w:spacing w:line="240" w:lineRule="auto"/>
              <w:jc w:val="center"/>
              <w:rPr>
                <w:rFonts w:hint="eastAsia" w:ascii="宋体" w:hAnsi="宋体" w:eastAsia="宋体" w:cs="宋体"/>
                <w:color w:val="000000"/>
                <w:sz w:val="18"/>
                <w:szCs w:val="18"/>
                <w:lang w:eastAsia="zh-CN"/>
              </w:rPr>
            </w:pPr>
            <w:r>
              <w:rPr>
                <w:rFonts w:hint="eastAsia" w:ascii="宋体" w:hAnsi="宋体" w:cs="宋体"/>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536" w:type="dxa"/>
            <w:vAlign w:val="center"/>
          </w:tcPr>
          <w:p>
            <w:pPr>
              <w:keepNext w:val="0"/>
              <w:keepLines w:val="0"/>
              <w:widowControl/>
              <w:suppressLineNumbers w:val="0"/>
              <w:spacing w:line="240" w:lineRule="auto"/>
              <w:jc w:val="center"/>
              <w:textAlignment w:val="center"/>
              <w:rPr>
                <w:rFonts w:ascii="宋体" w:hAnsi="宋体" w:cs="宋体"/>
                <w:color w:val="000000"/>
                <w:sz w:val="18"/>
                <w:szCs w:val="18"/>
              </w:rPr>
            </w:pPr>
            <w:r>
              <w:rPr>
                <w:rFonts w:hint="eastAsia" w:ascii="宋体" w:hAnsi="宋体" w:eastAsia="宋体" w:cs="宋体"/>
                <w:i w:val="0"/>
                <w:color w:val="000000"/>
                <w:kern w:val="0"/>
                <w:sz w:val="18"/>
                <w:szCs w:val="18"/>
                <w:u w:val="none"/>
                <w:lang w:val="en-US" w:eastAsia="zh-CN" w:bidi="ar"/>
              </w:rPr>
              <w:t>1</w:t>
            </w:r>
          </w:p>
        </w:tc>
        <w:tc>
          <w:tcPr>
            <w:tcW w:w="2288" w:type="dxa"/>
            <w:vAlign w:val="center"/>
          </w:tcPr>
          <w:p>
            <w:pPr>
              <w:jc w:val="center"/>
              <w:rPr>
                <w:rFonts w:hint="eastAsia" w:ascii="宋体" w:hAnsi="宋体" w:cs="宋体"/>
                <w:color w:val="000000"/>
                <w:sz w:val="18"/>
                <w:szCs w:val="18"/>
              </w:rPr>
            </w:pPr>
            <w:r>
              <w:rPr>
                <w:rFonts w:hint="eastAsia"/>
                <w:color w:val="auto"/>
                <w:sz w:val="20"/>
                <w:szCs w:val="20"/>
                <w:highlight w:val="none"/>
              </w:rPr>
              <w:t xml:space="preserve">人体静电释放仪 </w:t>
            </w:r>
          </w:p>
        </w:tc>
        <w:tc>
          <w:tcPr>
            <w:tcW w:w="536" w:type="dxa"/>
            <w:vAlign w:val="center"/>
          </w:tcPr>
          <w:p>
            <w:pPr>
              <w:widowControl/>
              <w:jc w:val="center"/>
              <w:rPr>
                <w:rFonts w:hint="eastAsia" w:ascii="宋体" w:hAnsi="宋体" w:cs="宋体"/>
                <w:color w:val="000000"/>
                <w:sz w:val="18"/>
                <w:szCs w:val="18"/>
                <w:lang w:eastAsia="zh-CN"/>
              </w:rPr>
            </w:pPr>
            <w:r>
              <w:rPr>
                <w:rFonts w:hint="eastAsia" w:cs="宋体"/>
                <w:color w:val="auto"/>
                <w:sz w:val="20"/>
                <w:szCs w:val="20"/>
                <w:highlight w:val="none"/>
                <w:lang w:eastAsia="zh-CN"/>
              </w:rPr>
              <w:t>台</w:t>
            </w:r>
          </w:p>
        </w:tc>
        <w:tc>
          <w:tcPr>
            <w:tcW w:w="537" w:type="dxa"/>
            <w:vAlign w:val="center"/>
          </w:tcPr>
          <w:p>
            <w:pPr>
              <w:jc w:val="center"/>
              <w:rPr>
                <w:rFonts w:hint="eastAsia" w:ascii="宋体" w:hAnsi="宋体" w:cs="宋体"/>
                <w:color w:val="000000"/>
                <w:sz w:val="18"/>
                <w:szCs w:val="18"/>
                <w:lang w:val="en-US" w:eastAsia="zh-CN"/>
              </w:rPr>
            </w:pPr>
            <w:r>
              <w:rPr>
                <w:rFonts w:hint="eastAsia" w:ascii="宋体" w:hAnsi="宋体" w:cs="宋体"/>
                <w:color w:val="auto"/>
                <w:sz w:val="18"/>
                <w:szCs w:val="18"/>
                <w:highlight w:val="none"/>
                <w:lang w:val="en-US" w:eastAsia="zh-CN"/>
              </w:rPr>
              <w:t>1</w:t>
            </w:r>
          </w:p>
        </w:tc>
        <w:tc>
          <w:tcPr>
            <w:tcW w:w="1141" w:type="dxa"/>
            <w:vAlign w:val="center"/>
          </w:tcPr>
          <w:p>
            <w:pPr>
              <w:widowControl/>
              <w:spacing w:line="240" w:lineRule="auto"/>
              <w:jc w:val="center"/>
              <w:rPr>
                <w:rFonts w:hint="default" w:ascii="宋体" w:hAnsi="宋体" w:cs="宋体"/>
                <w:color w:val="000000"/>
                <w:sz w:val="18"/>
                <w:szCs w:val="18"/>
                <w:lang w:val="en-US" w:eastAsia="zh-CN"/>
              </w:rPr>
            </w:pPr>
            <w:r>
              <w:rPr>
                <w:rFonts w:hint="eastAsia" w:ascii="宋体" w:hAnsi="宋体" w:cs="宋体"/>
                <w:color w:val="000000"/>
                <w:sz w:val="18"/>
                <w:szCs w:val="18"/>
                <w:lang w:eastAsia="zh-CN"/>
              </w:rPr>
              <w:t>见附件</w:t>
            </w:r>
            <w:r>
              <w:rPr>
                <w:rFonts w:hint="eastAsia" w:ascii="宋体" w:hAnsi="宋体" w:cs="宋体"/>
                <w:color w:val="000000"/>
                <w:sz w:val="18"/>
                <w:szCs w:val="18"/>
                <w:lang w:val="en-US" w:eastAsia="zh-CN"/>
              </w:rPr>
              <w:t>技术要求</w:t>
            </w:r>
          </w:p>
        </w:tc>
        <w:tc>
          <w:tcPr>
            <w:tcW w:w="899" w:type="dxa"/>
            <w:vAlign w:val="center"/>
          </w:tcPr>
          <w:p>
            <w:pPr>
              <w:widowControl/>
              <w:spacing w:line="240" w:lineRule="auto"/>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见招标公告</w:t>
            </w:r>
          </w:p>
        </w:tc>
        <w:tc>
          <w:tcPr>
            <w:tcW w:w="896" w:type="dxa"/>
            <w:vAlign w:val="center"/>
          </w:tcPr>
          <w:p>
            <w:pPr>
              <w:widowControl/>
              <w:spacing w:line="240" w:lineRule="auto"/>
              <w:jc w:val="center"/>
              <w:rPr>
                <w:rFonts w:hint="eastAsia" w:ascii="宋体" w:hAnsi="宋体" w:cs="宋体"/>
                <w:color w:val="000000"/>
                <w:sz w:val="18"/>
                <w:szCs w:val="18"/>
              </w:rPr>
            </w:pPr>
            <w:r>
              <w:rPr>
                <w:rFonts w:hint="eastAsia" w:ascii="宋体" w:hAnsi="宋体" w:cs="宋体"/>
                <w:color w:val="000000"/>
                <w:sz w:val="18"/>
                <w:szCs w:val="18"/>
                <w:lang w:eastAsia="zh-CN"/>
              </w:rPr>
              <w:t>见招标公告</w:t>
            </w:r>
          </w:p>
        </w:tc>
        <w:tc>
          <w:tcPr>
            <w:tcW w:w="721" w:type="dxa"/>
            <w:vAlign w:val="center"/>
          </w:tcPr>
          <w:p>
            <w:pPr>
              <w:keepNext w:val="0"/>
              <w:keepLines w:val="0"/>
              <w:widowControl/>
              <w:suppressLineNumbers w:val="0"/>
              <w:jc w:val="center"/>
              <w:textAlignment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536" w:type="dxa"/>
            <w:vAlign w:val="center"/>
          </w:tcPr>
          <w:p>
            <w:pPr>
              <w:keepNext w:val="0"/>
              <w:keepLines w:val="0"/>
              <w:widowControl/>
              <w:suppressLineNumbers w:val="0"/>
              <w:spacing w:line="240" w:lineRule="auto"/>
              <w:jc w:val="center"/>
              <w:textAlignment w:val="center"/>
              <w:rPr>
                <w:rFonts w:hint="eastAsia"/>
                <w:sz w:val="18"/>
                <w:szCs w:val="18"/>
              </w:rPr>
            </w:pPr>
            <w:r>
              <w:rPr>
                <w:rFonts w:hint="eastAsia" w:ascii="宋体" w:hAnsi="宋体" w:eastAsia="宋体" w:cs="宋体"/>
                <w:i w:val="0"/>
                <w:color w:val="000000"/>
                <w:kern w:val="0"/>
                <w:sz w:val="18"/>
                <w:szCs w:val="18"/>
                <w:u w:val="none"/>
                <w:lang w:val="en-US" w:eastAsia="zh-CN" w:bidi="ar"/>
              </w:rPr>
              <w:t>2</w:t>
            </w:r>
          </w:p>
        </w:tc>
        <w:tc>
          <w:tcPr>
            <w:tcW w:w="2288" w:type="dxa"/>
            <w:vAlign w:val="center"/>
          </w:tcPr>
          <w:p>
            <w:pPr>
              <w:jc w:val="center"/>
              <w:rPr>
                <w:rFonts w:hint="eastAsia" w:ascii="宋体" w:hAnsi="宋体" w:cs="宋体"/>
                <w:color w:val="000000"/>
                <w:sz w:val="18"/>
                <w:szCs w:val="18"/>
              </w:rPr>
            </w:pPr>
            <w:r>
              <w:rPr>
                <w:rFonts w:hint="eastAsia"/>
                <w:color w:val="auto"/>
                <w:sz w:val="20"/>
                <w:szCs w:val="20"/>
                <w:highlight w:val="none"/>
              </w:rPr>
              <w:t xml:space="preserve"> 人体静电释放报警器</w:t>
            </w:r>
          </w:p>
        </w:tc>
        <w:tc>
          <w:tcPr>
            <w:tcW w:w="536" w:type="dxa"/>
            <w:vAlign w:val="center"/>
          </w:tcPr>
          <w:p>
            <w:pPr>
              <w:widowControl/>
              <w:jc w:val="center"/>
              <w:rPr>
                <w:rFonts w:hint="eastAsia" w:ascii="宋体" w:hAnsi="宋体" w:cs="宋体"/>
                <w:color w:val="000000"/>
                <w:sz w:val="18"/>
                <w:szCs w:val="18"/>
                <w:lang w:eastAsia="zh-CN"/>
              </w:rPr>
            </w:pPr>
            <w:r>
              <w:rPr>
                <w:rFonts w:hint="eastAsia" w:ascii="宋体" w:hAnsi="宋体" w:cs="宋体"/>
                <w:color w:val="auto"/>
                <w:sz w:val="18"/>
                <w:szCs w:val="18"/>
                <w:highlight w:val="none"/>
                <w:lang w:eastAsia="zh-CN"/>
              </w:rPr>
              <w:t>台</w:t>
            </w:r>
          </w:p>
        </w:tc>
        <w:tc>
          <w:tcPr>
            <w:tcW w:w="537" w:type="dxa"/>
            <w:vAlign w:val="center"/>
          </w:tcPr>
          <w:p>
            <w:pPr>
              <w:jc w:val="center"/>
              <w:rPr>
                <w:rFonts w:hint="eastAsia" w:ascii="宋体" w:hAnsi="宋体" w:cs="宋体"/>
                <w:color w:val="000000"/>
                <w:sz w:val="18"/>
                <w:szCs w:val="18"/>
                <w:lang w:val="en-US" w:eastAsia="zh-CN"/>
              </w:rPr>
            </w:pPr>
            <w:r>
              <w:rPr>
                <w:rFonts w:hint="eastAsia" w:ascii="宋体" w:hAnsi="宋体" w:cs="宋体"/>
                <w:color w:val="auto"/>
                <w:sz w:val="18"/>
                <w:szCs w:val="18"/>
                <w:highlight w:val="none"/>
                <w:lang w:val="en-US" w:eastAsia="zh-CN"/>
              </w:rPr>
              <w:t>1</w:t>
            </w:r>
          </w:p>
        </w:tc>
        <w:tc>
          <w:tcPr>
            <w:tcW w:w="1141" w:type="dxa"/>
            <w:vAlign w:val="center"/>
          </w:tcPr>
          <w:p>
            <w:pPr>
              <w:widowControl/>
              <w:spacing w:line="240" w:lineRule="auto"/>
              <w:jc w:val="center"/>
              <w:rPr>
                <w:rFonts w:hint="eastAsia" w:ascii="宋体" w:hAnsi="宋体" w:cs="宋体"/>
                <w:color w:val="000000"/>
                <w:sz w:val="18"/>
                <w:szCs w:val="18"/>
                <w:lang w:eastAsia="zh-CN"/>
              </w:rPr>
            </w:pPr>
            <w:r>
              <w:rPr>
                <w:rFonts w:hint="eastAsia" w:ascii="宋体" w:hAnsi="宋体" w:cs="宋体"/>
                <w:color w:val="000000"/>
                <w:sz w:val="18"/>
                <w:szCs w:val="18"/>
                <w:lang w:eastAsia="zh-CN"/>
              </w:rPr>
              <w:t>见附件</w:t>
            </w:r>
            <w:r>
              <w:rPr>
                <w:rFonts w:hint="eastAsia" w:ascii="宋体" w:hAnsi="宋体" w:cs="宋体"/>
                <w:color w:val="000000"/>
                <w:sz w:val="18"/>
                <w:szCs w:val="18"/>
                <w:lang w:val="en-US" w:eastAsia="zh-CN"/>
              </w:rPr>
              <w:t>技术要求</w:t>
            </w:r>
          </w:p>
        </w:tc>
        <w:tc>
          <w:tcPr>
            <w:tcW w:w="899" w:type="dxa"/>
            <w:vAlign w:val="center"/>
          </w:tcPr>
          <w:p>
            <w:pPr>
              <w:widowControl/>
              <w:spacing w:line="240" w:lineRule="auto"/>
              <w:jc w:val="center"/>
              <w:rPr>
                <w:rFonts w:hint="eastAsia" w:ascii="宋体" w:hAnsi="宋体" w:cs="宋体"/>
                <w:color w:val="000000"/>
                <w:sz w:val="18"/>
                <w:szCs w:val="18"/>
              </w:rPr>
            </w:pPr>
            <w:r>
              <w:rPr>
                <w:rFonts w:hint="eastAsia" w:ascii="宋体" w:hAnsi="宋体" w:cs="宋体"/>
                <w:color w:val="000000"/>
                <w:sz w:val="18"/>
                <w:szCs w:val="18"/>
                <w:lang w:eastAsia="zh-CN"/>
              </w:rPr>
              <w:t>见招标公告</w:t>
            </w:r>
          </w:p>
        </w:tc>
        <w:tc>
          <w:tcPr>
            <w:tcW w:w="896" w:type="dxa"/>
            <w:vAlign w:val="center"/>
          </w:tcPr>
          <w:p>
            <w:pPr>
              <w:widowControl/>
              <w:spacing w:line="240" w:lineRule="auto"/>
              <w:jc w:val="center"/>
              <w:rPr>
                <w:rFonts w:hint="eastAsia" w:ascii="宋体" w:hAnsi="宋体" w:cs="宋体"/>
                <w:color w:val="000000"/>
                <w:sz w:val="18"/>
                <w:szCs w:val="18"/>
              </w:rPr>
            </w:pPr>
            <w:r>
              <w:rPr>
                <w:rFonts w:hint="eastAsia" w:ascii="宋体" w:hAnsi="宋体" w:cs="宋体"/>
                <w:color w:val="000000"/>
                <w:sz w:val="18"/>
                <w:szCs w:val="18"/>
                <w:lang w:eastAsia="zh-CN"/>
              </w:rPr>
              <w:t>见招标公告</w:t>
            </w:r>
          </w:p>
        </w:tc>
        <w:tc>
          <w:tcPr>
            <w:tcW w:w="721" w:type="dxa"/>
            <w:vAlign w:val="center"/>
          </w:tcPr>
          <w:p>
            <w:pPr>
              <w:keepNext w:val="0"/>
              <w:keepLines w:val="0"/>
              <w:widowControl/>
              <w:suppressLineNumbers w:val="0"/>
              <w:jc w:val="center"/>
              <w:textAlignment w:val="center"/>
              <w:rPr>
                <w:rFonts w:hint="eastAsia" w:ascii="宋体" w:hAnsi="宋体" w:cs="宋体"/>
                <w:color w:val="000000"/>
                <w:sz w:val="18"/>
                <w:szCs w:val="18"/>
              </w:rPr>
            </w:pPr>
          </w:p>
        </w:tc>
      </w:tr>
    </w:tbl>
    <w:p>
      <w:pPr>
        <w:spacing w:after="120" w:afterLines="50" w:line="288" w:lineRule="auto"/>
        <w:jc w:val="center"/>
        <w:rPr>
          <w:rFonts w:hint="eastAsia" w:ascii="宋体" w:hAnsi="宋体" w:cs="宋体"/>
          <w:b/>
          <w:sz w:val="21"/>
          <w:szCs w:val="21"/>
        </w:rPr>
      </w:pPr>
    </w:p>
    <w:p>
      <w:pPr>
        <w:spacing w:line="288" w:lineRule="auto"/>
        <w:rPr>
          <w:rFonts w:hint="eastAsia" w:eastAsia="宋体"/>
          <w:lang w:eastAsia="zh-CN"/>
        </w:rPr>
      </w:pPr>
      <w:r>
        <w:rPr>
          <w:rFonts w:hint="eastAsia"/>
          <w:lang w:eastAsia="zh-CN"/>
        </w:rPr>
        <w:t>数量以实际发生为准</w:t>
      </w:r>
    </w:p>
    <w:p>
      <w:pPr>
        <w:spacing w:line="288" w:lineRule="auto"/>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r>
        <w:rPr>
          <w:rFonts w:hint="eastAsia" w:ascii="黑体" w:hAnsi="宋体" w:eastAsia="黑体"/>
          <w:bCs/>
          <w:kern w:val="2"/>
          <w:sz w:val="28"/>
          <w:szCs w:val="28"/>
        </w:rPr>
        <w:br w:type="page"/>
      </w:r>
      <w:bookmarkStart w:id="37" w:name="_Toc25757"/>
      <w:r>
        <w:rPr>
          <w:rFonts w:hint="eastAsia" w:ascii="黑体" w:hAnsi="宋体" w:eastAsia="黑体"/>
          <w:bCs/>
          <w:kern w:val="2"/>
          <w:sz w:val="28"/>
          <w:szCs w:val="28"/>
        </w:rPr>
        <w:t>附件2：技术要求</w:t>
      </w:r>
      <w:bookmarkEnd w:id="37"/>
    </w:p>
    <w:p>
      <w:pPr>
        <w:pStyle w:val="8"/>
        <w:widowControl/>
        <w:snapToGrid w:val="0"/>
        <w:spacing w:line="500" w:lineRule="exact"/>
        <w:rPr>
          <w:rFonts w:hAnsi="宋体"/>
          <w:color w:val="000000"/>
          <w:sz w:val="32"/>
          <w:szCs w:val="32"/>
        </w:rPr>
      </w:pPr>
      <w:bookmarkStart w:id="38" w:name="_Toc15481775"/>
      <w:r>
        <w:rPr>
          <w:rFonts w:hint="eastAsia" w:hAnsi="宋体" w:cs="黑体"/>
          <w:color w:val="000000"/>
          <w:sz w:val="32"/>
          <w:szCs w:val="32"/>
        </w:rPr>
        <w:t>人体静电释放仪</w:t>
      </w:r>
      <w:r>
        <w:rPr>
          <w:rFonts w:hint="eastAsia" w:hAnsi="宋体" w:cs="黑体"/>
          <w:color w:val="000000"/>
          <w:sz w:val="32"/>
          <w:szCs w:val="32"/>
          <w:lang w:eastAsia="zh-CN"/>
        </w:rPr>
        <w:t>及</w:t>
      </w:r>
      <w:r>
        <w:rPr>
          <w:rFonts w:hint="eastAsia" w:hAnsi="宋体" w:cs="黑体"/>
          <w:color w:val="000000"/>
          <w:sz w:val="32"/>
          <w:szCs w:val="32"/>
        </w:rPr>
        <w:t>人体静电释放</w:t>
      </w:r>
      <w:r>
        <w:rPr>
          <w:rFonts w:hint="eastAsia" w:hAnsi="宋体" w:cs="黑体"/>
          <w:color w:val="000000"/>
          <w:sz w:val="32"/>
          <w:szCs w:val="32"/>
          <w:lang w:eastAsia="zh-CN"/>
        </w:rPr>
        <w:t>报警器</w:t>
      </w:r>
      <w:r>
        <w:rPr>
          <w:rFonts w:hint="eastAsia" w:hAnsi="宋体"/>
          <w:color w:val="000000"/>
          <w:sz w:val="32"/>
          <w:szCs w:val="32"/>
        </w:rPr>
        <w:t>招标技术规范</w:t>
      </w:r>
    </w:p>
    <w:p>
      <w:pPr>
        <w:spacing w:beforeLines="100" w:afterLines="100" w:line="240" w:lineRule="auto"/>
        <w:outlineLvl w:val="9"/>
        <w:rPr>
          <w:rFonts w:ascii="黑体" w:eastAsia="黑体"/>
          <w:sz w:val="21"/>
          <w:szCs w:val="21"/>
        </w:rPr>
      </w:pPr>
      <w:r>
        <w:rPr>
          <w:rFonts w:hint="eastAsia" w:ascii="黑体" w:eastAsia="黑体"/>
          <w:sz w:val="21"/>
          <w:szCs w:val="21"/>
        </w:rPr>
        <w:t>1范围</w:t>
      </w:r>
    </w:p>
    <w:p>
      <w:pPr>
        <w:pStyle w:val="3"/>
        <w:adjustRightInd w:val="0"/>
        <w:snapToGrid w:val="0"/>
        <w:spacing w:before="0" w:beforeAutospacing="0" w:after="0" w:afterAutospacing="0" w:line="500" w:lineRule="exact"/>
        <w:ind w:firstLine="420" w:firstLineChars="200"/>
        <w:outlineLvl w:val="9"/>
        <w:rPr>
          <w:rFonts w:ascii="宋体" w:hAnsi="宋体"/>
          <w:color w:val="000000"/>
          <w:kern w:val="2"/>
          <w:sz w:val="21"/>
          <w:szCs w:val="21"/>
        </w:rPr>
      </w:pPr>
      <w:r>
        <w:rPr>
          <w:rFonts w:hint="eastAsia" w:ascii="宋体" w:hAnsi="宋体"/>
          <w:color w:val="000000"/>
          <w:kern w:val="2"/>
          <w:sz w:val="21"/>
          <w:szCs w:val="21"/>
        </w:rPr>
        <w:t>本标准适用于吉林油田公司其它人体静电释放仪采购招标项目。</w:t>
      </w:r>
    </w:p>
    <w:p>
      <w:pPr>
        <w:spacing w:beforeLines="100" w:afterLines="100" w:line="240" w:lineRule="auto"/>
        <w:outlineLvl w:val="9"/>
        <w:rPr>
          <w:rFonts w:ascii="黑体" w:eastAsia="黑体"/>
          <w:sz w:val="21"/>
          <w:szCs w:val="21"/>
        </w:rPr>
      </w:pPr>
      <w:bookmarkStart w:id="39" w:name="_Toc2624979"/>
      <w:r>
        <w:rPr>
          <w:rFonts w:hint="eastAsia" w:ascii="黑体" w:eastAsia="黑体"/>
          <w:sz w:val="21"/>
          <w:szCs w:val="21"/>
        </w:rPr>
        <w:t>2规范性引用文件</w:t>
      </w:r>
    </w:p>
    <w:p>
      <w:pPr>
        <w:pStyle w:val="9"/>
        <w:widowControl/>
        <w:snapToGrid w:val="0"/>
        <w:spacing w:line="500" w:lineRule="exact"/>
        <w:ind w:firstLine="420" w:firstLineChars="200"/>
        <w:outlineLvl w:val="9"/>
        <w:rPr>
          <w:rStyle w:val="10"/>
          <w:rFonts w:ascii="宋体" w:hAnsi="宋体"/>
          <w:b w:val="0"/>
          <w:sz w:val="21"/>
          <w:szCs w:val="21"/>
          <w:lang w:val="zh-CN"/>
        </w:rPr>
      </w:pPr>
      <w:r>
        <w:rPr>
          <w:rStyle w:val="10"/>
          <w:rFonts w:hint="eastAsia" w:ascii="宋体" w:hAnsi="宋体"/>
          <w:b w:val="0"/>
          <w:sz w:val="21"/>
          <w:szCs w:val="21"/>
          <w:lang w:val="zh-CN"/>
        </w:rPr>
        <w:t>下列文件对于本文件的应用是必不可少的。凡是注日期的引用文件，仅注日期的版本适用于本文件。凡是不注日期的引用文件，其最新版本（包括所有的修改单）适用于本文件。</w:t>
      </w:r>
    </w:p>
    <w:p>
      <w:pPr>
        <w:spacing w:line="360" w:lineRule="auto"/>
        <w:ind w:firstLine="440" w:firstLineChars="200"/>
        <w:outlineLvl w:val="9"/>
        <w:rPr>
          <w:rFonts w:ascii="宋体" w:hAnsi="宋体"/>
          <w:szCs w:val="21"/>
        </w:rPr>
      </w:pPr>
      <w:r>
        <w:rPr>
          <w:rFonts w:hint="eastAsia" w:ascii="宋体" w:hAnsi="宋体"/>
          <w:szCs w:val="21"/>
        </w:rPr>
        <w:t>《防止静电事故通用导则》GB12158</w:t>
      </w:r>
    </w:p>
    <w:p>
      <w:pPr>
        <w:spacing w:line="360" w:lineRule="auto"/>
        <w:ind w:firstLine="440" w:firstLineChars="200"/>
        <w:outlineLvl w:val="9"/>
        <w:rPr>
          <w:rFonts w:ascii="宋体" w:hAnsi="宋体"/>
          <w:szCs w:val="21"/>
        </w:rPr>
      </w:pPr>
      <w:r>
        <w:rPr>
          <w:rFonts w:hint="eastAsia" w:ascii="宋体" w:hAnsi="宋体"/>
          <w:szCs w:val="21"/>
        </w:rPr>
        <w:t>《石油化工粉体料仓防静电燃爆设计规范》GB50813</w:t>
      </w:r>
    </w:p>
    <w:p>
      <w:pPr>
        <w:spacing w:line="360" w:lineRule="auto"/>
        <w:ind w:firstLine="440" w:firstLineChars="200"/>
        <w:outlineLvl w:val="9"/>
        <w:rPr>
          <w:rFonts w:ascii="宋体" w:hAnsi="宋体"/>
          <w:szCs w:val="21"/>
        </w:rPr>
      </w:pPr>
      <w:r>
        <w:rPr>
          <w:rFonts w:hint="eastAsia" w:ascii="宋体" w:hAnsi="宋体"/>
          <w:szCs w:val="21"/>
        </w:rPr>
        <w:t>《防静电安全技术规范》SY/T 7385</w:t>
      </w:r>
    </w:p>
    <w:p>
      <w:pPr>
        <w:spacing w:line="360" w:lineRule="auto"/>
        <w:ind w:firstLine="440" w:firstLineChars="200"/>
        <w:outlineLvl w:val="9"/>
        <w:rPr>
          <w:rFonts w:ascii="宋体" w:hAnsi="宋体"/>
          <w:szCs w:val="21"/>
        </w:rPr>
      </w:pPr>
      <w:r>
        <w:rPr>
          <w:rFonts w:hint="eastAsia" w:ascii="宋体" w:hAnsi="宋体"/>
          <w:szCs w:val="21"/>
        </w:rPr>
        <w:t>《本安型人体静电释放仪安全规范》SY/T7354</w:t>
      </w:r>
    </w:p>
    <w:p>
      <w:pPr>
        <w:spacing w:line="360" w:lineRule="auto"/>
        <w:ind w:firstLine="440" w:firstLineChars="200"/>
        <w:outlineLvl w:val="9"/>
        <w:rPr>
          <w:rFonts w:ascii="宋体" w:hAnsi="宋体"/>
          <w:szCs w:val="21"/>
        </w:rPr>
      </w:pPr>
      <w:r>
        <w:rPr>
          <w:rFonts w:hint="eastAsia" w:ascii="宋体" w:hAnsi="宋体"/>
          <w:szCs w:val="21"/>
        </w:rPr>
        <w:t>《石油化工静电接地设计规范》SH/T3097</w:t>
      </w:r>
    </w:p>
    <w:p>
      <w:pPr>
        <w:spacing w:line="360" w:lineRule="auto"/>
        <w:ind w:firstLine="440" w:firstLineChars="200"/>
        <w:outlineLvl w:val="9"/>
        <w:rPr>
          <w:rFonts w:ascii="宋体" w:hAnsi="宋体"/>
          <w:szCs w:val="21"/>
        </w:rPr>
      </w:pPr>
      <w:r>
        <w:rPr>
          <w:rFonts w:hint="eastAsia" w:ascii="宋体" w:hAnsi="宋体"/>
          <w:szCs w:val="21"/>
        </w:rPr>
        <w:t>《石油与石油设施雷电安全规范》GB15599</w:t>
      </w:r>
    </w:p>
    <w:p>
      <w:pPr>
        <w:spacing w:line="360" w:lineRule="auto"/>
        <w:ind w:firstLine="440" w:firstLineChars="200"/>
        <w:outlineLvl w:val="9"/>
        <w:rPr>
          <w:rFonts w:ascii="宋体" w:hAnsi="宋体"/>
          <w:szCs w:val="21"/>
        </w:rPr>
      </w:pPr>
      <w:r>
        <w:rPr>
          <w:rFonts w:hint="eastAsia" w:ascii="宋体" w:hAnsi="宋体"/>
          <w:szCs w:val="21"/>
        </w:rPr>
        <w:t>《石油化工企业设计防火标准》GB50160</w:t>
      </w:r>
    </w:p>
    <w:p>
      <w:pPr>
        <w:spacing w:line="360" w:lineRule="auto"/>
        <w:ind w:firstLine="440" w:firstLineChars="200"/>
        <w:outlineLvl w:val="9"/>
        <w:rPr>
          <w:rFonts w:ascii="宋体" w:hAnsi="宋体"/>
          <w:szCs w:val="21"/>
        </w:rPr>
      </w:pPr>
      <w:r>
        <w:rPr>
          <w:rFonts w:hint="eastAsia" w:ascii="宋体" w:hAnsi="宋体"/>
          <w:szCs w:val="21"/>
        </w:rPr>
        <w:t>《本安型人体静电释放仪技术条件》Q/SY1717</w:t>
      </w:r>
    </w:p>
    <w:p>
      <w:pPr>
        <w:spacing w:line="360" w:lineRule="auto"/>
        <w:ind w:firstLine="440" w:firstLineChars="200"/>
        <w:outlineLvl w:val="9"/>
        <w:rPr>
          <w:rFonts w:ascii="宋体" w:hAnsi="宋体"/>
          <w:szCs w:val="21"/>
        </w:rPr>
      </w:pPr>
      <w:r>
        <w:rPr>
          <w:rFonts w:hint="eastAsia" w:ascii="宋体" w:hAnsi="宋体"/>
          <w:szCs w:val="21"/>
        </w:rPr>
        <w:t>上述所列标准并非全部标准，仅是主要标准。各标准不同之处，取最优标准。</w:t>
      </w:r>
    </w:p>
    <w:p>
      <w:pPr>
        <w:spacing w:beforeLines="100" w:afterLines="100" w:line="240" w:lineRule="auto"/>
        <w:outlineLvl w:val="9"/>
        <w:rPr>
          <w:rFonts w:ascii="黑体" w:eastAsia="黑体"/>
          <w:sz w:val="21"/>
          <w:szCs w:val="21"/>
        </w:rPr>
      </w:pPr>
      <w:r>
        <w:rPr>
          <w:rFonts w:hint="eastAsia" w:ascii="黑体" w:eastAsia="黑体"/>
          <w:sz w:val="21"/>
          <w:szCs w:val="21"/>
        </w:rPr>
        <w:t>3 术语与定义</w:t>
      </w:r>
      <w:bookmarkEnd w:id="39"/>
    </w:p>
    <w:p>
      <w:pPr>
        <w:spacing w:line="500" w:lineRule="exact"/>
        <w:ind w:firstLine="440" w:firstLineChars="200"/>
        <w:outlineLvl w:val="9"/>
      </w:pPr>
      <w:r>
        <w:rPr>
          <w:rFonts w:hint="eastAsia"/>
        </w:rPr>
        <w:t>下列名词定义适用于本文件：</w:t>
      </w:r>
      <w:r>
        <w:t xml:space="preserve"> </w:t>
      </w:r>
    </w:p>
    <w:p>
      <w:pPr>
        <w:tabs>
          <w:tab w:val="left" w:pos="567"/>
        </w:tabs>
        <w:spacing w:line="360" w:lineRule="auto"/>
        <w:ind w:firstLine="440" w:firstLineChars="200"/>
        <w:outlineLvl w:val="9"/>
        <w:rPr>
          <w:szCs w:val="21"/>
        </w:rPr>
      </w:pPr>
      <w:r>
        <w:rPr>
          <w:rFonts w:hint="eastAsia"/>
          <w:szCs w:val="21"/>
        </w:rPr>
        <w:t>业主：项目投资人或所采物资最终物权所有方。</w:t>
      </w:r>
    </w:p>
    <w:p>
      <w:pPr>
        <w:tabs>
          <w:tab w:val="left" w:pos="567"/>
        </w:tabs>
        <w:spacing w:line="360" w:lineRule="auto"/>
        <w:ind w:firstLine="440" w:firstLineChars="200"/>
        <w:outlineLvl w:val="9"/>
        <w:rPr>
          <w:szCs w:val="21"/>
        </w:rPr>
      </w:pPr>
      <w:r>
        <w:rPr>
          <w:rFonts w:hint="eastAsia"/>
          <w:szCs w:val="21"/>
        </w:rPr>
        <w:t>采购方：业主或受业主委托采购物资的单位。</w:t>
      </w:r>
    </w:p>
    <w:p>
      <w:pPr>
        <w:tabs>
          <w:tab w:val="left" w:pos="567"/>
        </w:tabs>
        <w:spacing w:line="360" w:lineRule="auto"/>
        <w:ind w:firstLine="440" w:firstLineChars="200"/>
        <w:outlineLvl w:val="9"/>
        <w:rPr>
          <w:szCs w:val="21"/>
        </w:rPr>
      </w:pPr>
      <w:r>
        <w:rPr>
          <w:rFonts w:hint="eastAsia"/>
          <w:szCs w:val="21"/>
        </w:rPr>
        <w:t>设计方：受业主委托承担工程项目设计或对所采物资技术负责的单位。</w:t>
      </w:r>
    </w:p>
    <w:p>
      <w:pPr>
        <w:tabs>
          <w:tab w:val="left" w:pos="567"/>
        </w:tabs>
        <w:spacing w:line="360" w:lineRule="auto"/>
        <w:ind w:firstLine="440" w:firstLineChars="200"/>
        <w:outlineLvl w:val="9"/>
        <w:rPr>
          <w:szCs w:val="21"/>
        </w:rPr>
      </w:pPr>
      <w:r>
        <w:rPr>
          <w:rFonts w:hint="eastAsia"/>
          <w:szCs w:val="21"/>
        </w:rPr>
        <w:t>供货商：为业主设计、制造、提供物资的企业，分为制造商、代理商和贸易商。</w:t>
      </w:r>
    </w:p>
    <w:p>
      <w:pPr>
        <w:tabs>
          <w:tab w:val="left" w:pos="567"/>
        </w:tabs>
        <w:spacing w:line="360" w:lineRule="auto"/>
        <w:ind w:firstLine="440" w:firstLineChars="200"/>
        <w:outlineLvl w:val="9"/>
        <w:rPr>
          <w:szCs w:val="21"/>
        </w:rPr>
      </w:pPr>
      <w:r>
        <w:rPr>
          <w:rFonts w:hint="eastAsia"/>
          <w:szCs w:val="21"/>
        </w:rPr>
        <w:t>质保期：按采购合同约定，供货商对所供物资因质量问题而出现故障时提供更换、免费维修及保养的时间段。</w:t>
      </w:r>
    </w:p>
    <w:p>
      <w:pPr>
        <w:spacing w:beforeLines="100" w:afterLines="100" w:line="240" w:lineRule="auto"/>
        <w:outlineLvl w:val="9"/>
        <w:rPr>
          <w:rFonts w:ascii="黑体" w:eastAsia="黑体"/>
          <w:sz w:val="21"/>
          <w:szCs w:val="21"/>
        </w:rPr>
      </w:pPr>
      <w:r>
        <w:rPr>
          <w:rFonts w:hint="eastAsia" w:ascii="黑体" w:eastAsia="黑体"/>
          <w:sz w:val="21"/>
          <w:szCs w:val="21"/>
        </w:rPr>
        <w:t>4  投标人资格要求</w:t>
      </w:r>
    </w:p>
    <w:p>
      <w:pPr>
        <w:tabs>
          <w:tab w:val="left" w:pos="567"/>
        </w:tabs>
        <w:spacing w:line="360" w:lineRule="auto"/>
        <w:ind w:firstLine="440" w:firstLineChars="200"/>
        <w:outlineLvl w:val="9"/>
        <w:rPr>
          <w:rFonts w:hint="eastAsia"/>
          <w:szCs w:val="21"/>
          <w:lang w:eastAsia="zh-CN"/>
        </w:rPr>
      </w:pPr>
      <w:r>
        <w:rPr>
          <w:rFonts w:hint="eastAsia"/>
          <w:szCs w:val="21"/>
          <w:lang w:eastAsia="zh-CN"/>
        </w:rPr>
        <w:t>同招标公告</w:t>
      </w:r>
    </w:p>
    <w:p>
      <w:pPr>
        <w:spacing w:beforeLines="100" w:afterLines="100" w:line="240" w:lineRule="auto"/>
        <w:outlineLvl w:val="9"/>
        <w:rPr>
          <w:rFonts w:ascii="黑体" w:eastAsia="黑体"/>
          <w:sz w:val="21"/>
          <w:szCs w:val="21"/>
        </w:rPr>
      </w:pPr>
      <w:r>
        <w:rPr>
          <w:rFonts w:hint="eastAsia" w:ascii="黑体" w:eastAsia="黑体"/>
          <w:b w:val="0"/>
          <w:bCs w:val="0"/>
          <w:sz w:val="21"/>
          <w:szCs w:val="21"/>
        </w:rPr>
        <w:t>5</w:t>
      </w:r>
      <w:r>
        <w:rPr>
          <w:rFonts w:hint="eastAsia" w:ascii="黑体" w:eastAsia="黑体"/>
          <w:sz w:val="21"/>
          <w:szCs w:val="21"/>
        </w:rPr>
        <w:t xml:space="preserve"> 总体要求</w:t>
      </w:r>
    </w:p>
    <w:p>
      <w:pPr>
        <w:spacing w:line="500" w:lineRule="exact"/>
        <w:outlineLvl w:val="9"/>
      </w:pPr>
      <w:bookmarkStart w:id="40" w:name="_Toc247296330"/>
      <w:bookmarkStart w:id="41" w:name="_Toc262735286"/>
      <w:bookmarkStart w:id="42" w:name="_Toc408922139"/>
      <w:bookmarkStart w:id="43" w:name="_Toc410736448"/>
      <w:bookmarkStart w:id="44" w:name="_Toc332390689"/>
      <w:bookmarkStart w:id="45" w:name="_Toc303674812"/>
      <w:bookmarkStart w:id="46" w:name="_Toc262734643"/>
      <w:bookmarkStart w:id="47" w:name="_Toc471480928"/>
      <w:bookmarkStart w:id="48" w:name="_Toc359488163"/>
      <w:bookmarkStart w:id="49" w:name="_Toc3603"/>
      <w:bookmarkStart w:id="50" w:name="_Toc31815"/>
      <w:bookmarkStart w:id="51" w:name="_Toc362596686"/>
      <w:r>
        <w:rPr>
          <w:rFonts w:hint="eastAsia" w:ascii="黑体" w:hAnsi="黑体" w:eastAsia="黑体"/>
        </w:rPr>
        <w:t>5.1</w:t>
      </w:r>
      <w:r>
        <w:rPr>
          <w:rFonts w:hint="eastAsia"/>
        </w:rPr>
        <w:t>本文件提出</w:t>
      </w:r>
      <w:r>
        <w:t>的是</w:t>
      </w:r>
      <w:r>
        <w:rPr>
          <w:rFonts w:hint="eastAsia"/>
        </w:rPr>
        <w:t>最低</w:t>
      </w:r>
      <w:r>
        <w:t>限度的</w:t>
      </w:r>
      <w:r>
        <w:rPr>
          <w:rFonts w:hint="eastAsia"/>
        </w:rPr>
        <w:t>技术要求，并</w:t>
      </w:r>
      <w:r>
        <w:t>未对一切技术细节做出规定，也未充分引述有关标准和规范的条文，</w:t>
      </w:r>
      <w:r>
        <w:rPr>
          <w:rFonts w:hint="eastAsia"/>
        </w:rPr>
        <w:t>制造商应</w:t>
      </w:r>
      <w:r>
        <w:t>提供满足</w:t>
      </w:r>
      <w:r>
        <w:rPr>
          <w:rFonts w:hint="eastAsia"/>
        </w:rPr>
        <w:t>有关</w:t>
      </w:r>
      <w:r>
        <w:t>标准</w:t>
      </w:r>
      <w:r>
        <w:rPr>
          <w:rFonts w:hint="eastAsia"/>
        </w:rPr>
        <w:t>规范</w:t>
      </w:r>
      <w:r>
        <w:t>和本</w:t>
      </w:r>
      <w:r>
        <w:rPr>
          <w:rFonts w:hint="eastAsia"/>
        </w:rPr>
        <w:t>文件</w:t>
      </w:r>
      <w:r>
        <w:t>要求的全新产品。如果</w:t>
      </w:r>
      <w:r>
        <w:rPr>
          <w:rFonts w:hint="eastAsia"/>
        </w:rPr>
        <w:t>本</w:t>
      </w:r>
      <w:r>
        <w:t>规范和</w:t>
      </w:r>
      <w:r>
        <w:rPr>
          <w:rFonts w:hint="eastAsia"/>
        </w:rPr>
        <w:t>有关标准</w:t>
      </w:r>
      <w:r>
        <w:t>规范发生矛盾，应按下列顺序执行。</w:t>
      </w:r>
    </w:p>
    <w:p>
      <w:pPr>
        <w:spacing w:line="500" w:lineRule="exact"/>
        <w:ind w:firstLine="440" w:firstLineChars="200"/>
        <w:outlineLvl w:val="9"/>
        <w:rPr>
          <w:rFonts w:ascii="宋体" w:hAnsi="宋体"/>
        </w:rPr>
      </w:pPr>
      <w:r>
        <w:rPr>
          <w:rFonts w:hint="eastAsia" w:ascii="宋体" w:hAnsi="宋体"/>
        </w:rPr>
        <w:t>a）</w:t>
      </w:r>
      <w:r>
        <w:rPr>
          <w:rFonts w:ascii="宋体" w:hAnsi="宋体"/>
        </w:rPr>
        <w:t>中国国家、地区的法律</w:t>
      </w:r>
    </w:p>
    <w:p>
      <w:pPr>
        <w:spacing w:line="500" w:lineRule="exact"/>
        <w:ind w:firstLine="440" w:firstLineChars="200"/>
        <w:outlineLvl w:val="9"/>
        <w:rPr>
          <w:rFonts w:ascii="宋体" w:hAnsi="宋体"/>
        </w:rPr>
      </w:pPr>
      <w:r>
        <w:rPr>
          <w:rFonts w:hint="eastAsia" w:ascii="宋体" w:hAnsi="宋体"/>
        </w:rPr>
        <w:t>b）本</w:t>
      </w:r>
      <w:r>
        <w:rPr>
          <w:rFonts w:ascii="宋体" w:hAnsi="宋体"/>
        </w:rPr>
        <w:t>规范</w:t>
      </w:r>
    </w:p>
    <w:p>
      <w:pPr>
        <w:spacing w:line="500" w:lineRule="exact"/>
        <w:ind w:firstLine="440" w:firstLineChars="200"/>
        <w:outlineLvl w:val="9"/>
        <w:rPr>
          <w:rFonts w:ascii="宋体" w:hAnsi="宋体"/>
        </w:rPr>
      </w:pPr>
      <w:r>
        <w:rPr>
          <w:rFonts w:hint="eastAsia" w:ascii="宋体" w:hAnsi="宋体"/>
        </w:rPr>
        <w:t>c）遵循的</w:t>
      </w:r>
      <w:r>
        <w:rPr>
          <w:rFonts w:ascii="宋体" w:hAnsi="宋体"/>
        </w:rPr>
        <w:t>标准</w:t>
      </w:r>
      <w:r>
        <w:rPr>
          <w:rFonts w:hint="eastAsia" w:ascii="宋体" w:hAnsi="宋体"/>
        </w:rPr>
        <w:t>、</w:t>
      </w:r>
      <w:r>
        <w:rPr>
          <w:rFonts w:ascii="宋体" w:hAnsi="宋体"/>
        </w:rPr>
        <w:t>规范</w:t>
      </w:r>
    </w:p>
    <w:p>
      <w:pPr>
        <w:spacing w:line="500" w:lineRule="exact"/>
        <w:ind w:firstLine="440" w:firstLineChars="200"/>
        <w:outlineLvl w:val="9"/>
        <w:rPr>
          <w:rFonts w:ascii="宋体" w:hAnsi="宋体"/>
        </w:rPr>
      </w:pPr>
      <w:r>
        <w:rPr>
          <w:rFonts w:hint="eastAsia" w:ascii="宋体" w:hAnsi="宋体"/>
        </w:rPr>
        <w:t>d）制造商</w:t>
      </w:r>
      <w:r>
        <w:rPr>
          <w:rFonts w:ascii="宋体" w:hAnsi="宋体"/>
        </w:rPr>
        <w:t>的</w:t>
      </w:r>
      <w:r>
        <w:rPr>
          <w:rFonts w:hint="eastAsia" w:ascii="宋体" w:hAnsi="宋体"/>
        </w:rPr>
        <w:t>产品标准、</w:t>
      </w:r>
      <w:r>
        <w:rPr>
          <w:rFonts w:ascii="宋体" w:hAnsi="宋体"/>
        </w:rPr>
        <w:t>资料</w:t>
      </w:r>
    </w:p>
    <w:p>
      <w:pPr>
        <w:spacing w:line="500" w:lineRule="exact"/>
        <w:outlineLvl w:val="9"/>
      </w:pPr>
      <w:r>
        <w:rPr>
          <w:rFonts w:hint="eastAsia" w:ascii="黑体" w:hAnsi="黑体" w:eastAsia="黑体"/>
        </w:rPr>
        <w:t>5.2</w:t>
      </w:r>
      <w:r>
        <w:t>其它不能根据文件的优先顺序确定的矛盾，</w:t>
      </w:r>
      <w:r>
        <w:rPr>
          <w:rFonts w:hint="eastAsia"/>
        </w:rPr>
        <w:t>制造商</w:t>
      </w:r>
      <w:r>
        <w:t>应以书面形式提交给</w:t>
      </w:r>
      <w:r>
        <w:rPr>
          <w:rFonts w:hint="eastAsia"/>
        </w:rPr>
        <w:t>采购方</w:t>
      </w:r>
      <w:r>
        <w:t>，用于澄清和决定。</w:t>
      </w:r>
    </w:p>
    <w:p>
      <w:pPr>
        <w:spacing w:line="500" w:lineRule="exact"/>
        <w:outlineLvl w:val="9"/>
      </w:pPr>
      <w:r>
        <w:rPr>
          <w:rFonts w:hint="eastAsia" w:ascii="黑体" w:hAnsi="黑体" w:eastAsia="黑体"/>
        </w:rPr>
        <w:t>5.3</w:t>
      </w:r>
      <w:r>
        <w:t>其它未列出的与</w:t>
      </w:r>
      <w:r>
        <w:rPr>
          <w:rFonts w:hint="eastAsia"/>
        </w:rPr>
        <w:t>所购物资相</w:t>
      </w:r>
      <w:r>
        <w:t>关的标准</w:t>
      </w:r>
      <w:r>
        <w:rPr>
          <w:rFonts w:hint="eastAsia"/>
        </w:rPr>
        <w:t>、</w:t>
      </w:r>
      <w:r>
        <w:t>规范，</w:t>
      </w:r>
      <w:r>
        <w:rPr>
          <w:rFonts w:hint="eastAsia"/>
        </w:rPr>
        <w:t>制造商</w:t>
      </w:r>
      <w:r>
        <w:t>有义务主动提供。所有标准</w:t>
      </w:r>
      <w:r>
        <w:rPr>
          <w:rFonts w:hint="eastAsia"/>
        </w:rPr>
        <w:t>、</w:t>
      </w:r>
      <w:r>
        <w:t>规范均应为采购期</w:t>
      </w:r>
      <w:r>
        <w:rPr>
          <w:rFonts w:hint="eastAsia"/>
        </w:rPr>
        <w:t>时</w:t>
      </w:r>
      <w:r>
        <w:t>的有效版本。如果</w:t>
      </w:r>
      <w:r>
        <w:rPr>
          <w:rFonts w:hint="eastAsia"/>
        </w:rPr>
        <w:t>所引用</w:t>
      </w:r>
      <w:r>
        <w:t>的标准之间不一致或本</w:t>
      </w:r>
      <w:r>
        <w:rPr>
          <w:rFonts w:hint="eastAsia"/>
        </w:rPr>
        <w:t>文件</w:t>
      </w:r>
      <w:r>
        <w:t>所</w:t>
      </w:r>
      <w:r>
        <w:rPr>
          <w:rFonts w:hint="eastAsia"/>
        </w:rPr>
        <w:t>列遵循</w:t>
      </w:r>
      <w:r>
        <w:t>的标准</w:t>
      </w:r>
      <w:r>
        <w:rPr>
          <w:rFonts w:hint="eastAsia"/>
        </w:rPr>
        <w:t>、规范</w:t>
      </w:r>
      <w:r>
        <w:t>与</w:t>
      </w:r>
      <w:r>
        <w:rPr>
          <w:rFonts w:hint="eastAsia"/>
        </w:rPr>
        <w:t>制造商</w:t>
      </w:r>
      <w:r>
        <w:t>所执行的标准不一致，则按要求较高的标准执行。</w:t>
      </w:r>
    </w:p>
    <w:p>
      <w:pPr>
        <w:spacing w:line="500" w:lineRule="exact"/>
        <w:outlineLvl w:val="9"/>
      </w:pPr>
      <w:r>
        <w:rPr>
          <w:rFonts w:hint="eastAsia" w:ascii="黑体" w:hAnsi="黑体" w:eastAsia="黑体"/>
        </w:rPr>
        <w:t>5.4</w:t>
      </w:r>
      <w:r>
        <w:rPr>
          <w:rFonts w:hint="eastAsia"/>
        </w:rPr>
        <w:t>如果制造商</w:t>
      </w:r>
      <w:r>
        <w:t>没有以书面形式对本</w:t>
      </w:r>
      <w:r>
        <w:rPr>
          <w:rFonts w:hint="eastAsia"/>
        </w:rPr>
        <w:t>文件</w:t>
      </w:r>
      <w:r>
        <w:t>的条文提出差异，则意味着提供的物资完全符合本</w:t>
      </w:r>
      <w:r>
        <w:rPr>
          <w:rFonts w:hint="eastAsia"/>
        </w:rPr>
        <w:t>文件</w:t>
      </w:r>
      <w:r>
        <w:t>要求。</w:t>
      </w:r>
    </w:p>
    <w:p>
      <w:pPr>
        <w:spacing w:line="500" w:lineRule="exact"/>
        <w:outlineLvl w:val="9"/>
      </w:pPr>
      <w:r>
        <w:rPr>
          <w:rFonts w:hint="eastAsia" w:ascii="黑体" w:hAnsi="黑体" w:eastAsia="黑体"/>
        </w:rPr>
        <w:t>5.5</w:t>
      </w:r>
      <w:r>
        <w:rPr>
          <w:rFonts w:hint="eastAsia"/>
        </w:rPr>
        <w:t>本文件经各方协商一致后可</w:t>
      </w:r>
      <w:r>
        <w:t>作为订货合同的</w:t>
      </w:r>
      <w:r>
        <w:rPr>
          <w:rFonts w:hint="eastAsia"/>
        </w:rPr>
        <w:t>技术</w:t>
      </w:r>
      <w:r>
        <w:t>附件，与合同具有同等的法律效力。本</w:t>
      </w:r>
      <w:r>
        <w:rPr>
          <w:rFonts w:hint="eastAsia"/>
        </w:rPr>
        <w:t>文件未尽</w:t>
      </w:r>
      <w:r>
        <w:t>事宜，由合同签约双方在合同谈判时协商确定。</w:t>
      </w:r>
    </w:p>
    <w:bookmarkEnd w:id="40"/>
    <w:p>
      <w:pPr>
        <w:spacing w:line="500" w:lineRule="exact"/>
        <w:outlineLvl w:val="9"/>
        <w:rPr>
          <w:bCs/>
        </w:rPr>
      </w:pPr>
      <w:bookmarkStart w:id="52" w:name="_Toc408922143"/>
      <w:bookmarkStart w:id="53" w:name="_Toc471480932"/>
      <w:bookmarkStart w:id="54" w:name="_Toc410736452"/>
      <w:bookmarkStart w:id="55" w:name="_Toc262735297"/>
      <w:bookmarkStart w:id="56" w:name="_Toc303674823"/>
      <w:bookmarkStart w:id="57" w:name="_Toc262734654"/>
      <w:r>
        <w:rPr>
          <w:rFonts w:hint="eastAsia" w:ascii="黑体" w:hAnsi="黑体" w:eastAsia="黑体"/>
          <w:bCs/>
        </w:rPr>
        <w:t>5.6</w:t>
      </w:r>
      <w:r>
        <w:rPr>
          <w:bCs/>
        </w:rPr>
        <w:t>制造商职责</w:t>
      </w:r>
      <w:bookmarkEnd w:id="52"/>
      <w:bookmarkEnd w:id="53"/>
      <w:bookmarkEnd w:id="54"/>
      <w:r>
        <w:rPr>
          <w:rFonts w:hint="eastAsia"/>
          <w:bCs/>
        </w:rPr>
        <w:t>：</w:t>
      </w:r>
      <w:bookmarkStart w:id="58" w:name="_Toc3286629"/>
      <w:bookmarkStart w:id="59" w:name="_Toc408922144"/>
      <w:bookmarkStart w:id="60" w:name="_Toc471480933"/>
      <w:bookmarkStart w:id="61" w:name="_Toc3286380"/>
      <w:bookmarkStart w:id="62" w:name="_Toc410736453"/>
      <w:r>
        <w:rPr>
          <w:rFonts w:hint="eastAsia"/>
          <w:bCs/>
        </w:rPr>
        <w:t>制造商应对所供货</w:t>
      </w:r>
      <w:r>
        <w:rPr>
          <w:rFonts w:hint="eastAsia" w:ascii="宋体" w:hAnsi="宋体"/>
          <w:color w:val="000000"/>
          <w:szCs w:val="21"/>
        </w:rPr>
        <w:t>其它人体静电释放仪</w:t>
      </w:r>
      <w:r>
        <w:rPr>
          <w:rFonts w:hint="eastAsia"/>
          <w:bCs/>
        </w:rPr>
        <w:t>及其配套产品的设计（或委托设计）、材料采购、工件的制造、零部件的组装、图纸、资料的提供和检验以及在指定场所进行的试验负有完全责任。制造商还应对其它人体静电释放仪及其配套产品的性能、总体装配质量、运输、现场指导安装调试负责。</w:t>
      </w:r>
      <w:bookmarkEnd w:id="55"/>
      <w:bookmarkEnd w:id="56"/>
      <w:bookmarkEnd w:id="57"/>
      <w:bookmarkEnd w:id="58"/>
      <w:bookmarkEnd w:id="59"/>
      <w:bookmarkEnd w:id="60"/>
      <w:bookmarkEnd w:id="61"/>
      <w:bookmarkEnd w:id="62"/>
      <w:bookmarkStart w:id="63" w:name="_Toc408922145"/>
      <w:bookmarkStart w:id="64" w:name="_Toc471480934"/>
      <w:bookmarkStart w:id="65" w:name="_Toc410736454"/>
    </w:p>
    <w:p>
      <w:pPr>
        <w:spacing w:line="500" w:lineRule="exact"/>
        <w:outlineLvl w:val="9"/>
        <w:rPr>
          <w:bCs/>
        </w:rPr>
      </w:pPr>
      <w:r>
        <w:rPr>
          <w:rFonts w:hint="eastAsia" w:ascii="黑体" w:hAnsi="黑体" w:eastAsia="黑体"/>
          <w:bCs/>
        </w:rPr>
        <w:t>5.7</w:t>
      </w:r>
      <w:r>
        <w:rPr>
          <w:bCs/>
        </w:rPr>
        <w:t>质量</w:t>
      </w:r>
      <w:bookmarkEnd w:id="63"/>
      <w:bookmarkEnd w:id="64"/>
      <w:bookmarkEnd w:id="65"/>
      <w:r>
        <w:rPr>
          <w:rFonts w:hint="eastAsia"/>
          <w:bCs/>
        </w:rPr>
        <w:t>要求：</w:t>
      </w:r>
      <w:bookmarkStart w:id="66" w:name="_Toc471480935"/>
      <w:bookmarkStart w:id="67" w:name="_Toc408922146"/>
      <w:bookmarkStart w:id="68" w:name="_Toc410736455"/>
      <w:r>
        <w:rPr>
          <w:rFonts w:hint="eastAsia"/>
          <w:bCs/>
        </w:rPr>
        <w:t>本文件意在指明所采购</w:t>
      </w:r>
      <w:r>
        <w:rPr>
          <w:rFonts w:hint="eastAsia" w:ascii="宋体" w:hAnsi="宋体"/>
          <w:color w:val="000000"/>
          <w:szCs w:val="21"/>
        </w:rPr>
        <w:t>其它人体静电释放仪</w:t>
      </w:r>
      <w:r>
        <w:rPr>
          <w:rFonts w:hint="eastAsia"/>
          <w:bCs/>
        </w:rPr>
        <w:t>的基本原则和最低要求，并不减轻制造商为其所提供的产品的设计、制造、检测、试验、性能和安全所负的全部责任。</w:t>
      </w:r>
    </w:p>
    <w:p>
      <w:pPr>
        <w:spacing w:line="500" w:lineRule="exact"/>
        <w:outlineLvl w:val="9"/>
      </w:pPr>
      <w:r>
        <w:rPr>
          <w:rFonts w:hint="eastAsia" w:ascii="黑体" w:hAnsi="黑体" w:eastAsia="黑体"/>
        </w:rPr>
        <w:t>5.8</w:t>
      </w:r>
      <w:r>
        <w:rPr>
          <w:rFonts w:hint="eastAsia"/>
        </w:rPr>
        <w:t>制造商应保证所提供货物满足国家和行业有关标准和规范、本技术规范，以及采购方的具体的要求，并对其质量、可靠性、使用寿命、技术服务、相关责任等做出承诺。</w:t>
      </w:r>
    </w:p>
    <w:p>
      <w:pPr>
        <w:spacing w:line="500" w:lineRule="exact"/>
        <w:outlineLvl w:val="9"/>
      </w:pPr>
      <w:r>
        <w:rPr>
          <w:rFonts w:hint="eastAsia" w:ascii="黑体" w:hAnsi="黑体" w:eastAsia="黑体"/>
        </w:rPr>
        <w:t>5.9</w:t>
      </w:r>
      <w:r>
        <w:rPr>
          <w:rFonts w:hint="eastAsia"/>
        </w:rPr>
        <w:t>由业主或采购方签发的对本文件涉及产品的提议或建议，并不能免除制造商认可本文件的所有要求或履行承诺时的任何责任。</w:t>
      </w:r>
    </w:p>
    <w:p>
      <w:pPr>
        <w:spacing w:line="500" w:lineRule="exact"/>
        <w:outlineLvl w:val="9"/>
        <w:rPr>
          <w:bCs/>
        </w:rPr>
      </w:pPr>
      <w:r>
        <w:rPr>
          <w:rFonts w:hint="eastAsia" w:ascii="黑体" w:hAnsi="黑体" w:eastAsia="黑体"/>
          <w:bCs/>
        </w:rPr>
        <w:t>5.10</w:t>
      </w:r>
      <w:r>
        <w:rPr>
          <w:bCs/>
        </w:rPr>
        <w:t>进度</w:t>
      </w:r>
      <w:bookmarkEnd w:id="66"/>
      <w:bookmarkEnd w:id="67"/>
      <w:bookmarkEnd w:id="68"/>
      <w:r>
        <w:rPr>
          <w:rFonts w:hint="eastAsia"/>
          <w:bCs/>
        </w:rPr>
        <w:t>要求：</w:t>
      </w:r>
      <w:bookmarkStart w:id="69" w:name="_Toc471480937"/>
      <w:r>
        <w:rPr>
          <w:rFonts w:hint="eastAsia"/>
          <w:bCs/>
        </w:rPr>
        <w:t>制造商所提供的产品交货期必须满足项目总体进度的要求。</w:t>
      </w:r>
      <w:bookmarkEnd w:id="69"/>
      <w:bookmarkStart w:id="70" w:name="_Toc3286385"/>
      <w:bookmarkStart w:id="71" w:name="_Toc3286634"/>
      <w:bookmarkStart w:id="72" w:name="_Toc408922147"/>
      <w:bookmarkStart w:id="73" w:name="_Toc410736456"/>
      <w:bookmarkStart w:id="74" w:name="_Toc2845606"/>
      <w:bookmarkStart w:id="75" w:name="_Toc2844016"/>
      <w:bookmarkStart w:id="76" w:name="_Toc471480936"/>
      <w:bookmarkStart w:id="77" w:name="_Toc2766897"/>
    </w:p>
    <w:p>
      <w:pPr>
        <w:spacing w:line="500" w:lineRule="exact"/>
        <w:outlineLvl w:val="9"/>
        <w:rPr>
          <w:bCs/>
        </w:rPr>
      </w:pPr>
      <w:r>
        <w:rPr>
          <w:rFonts w:hint="eastAsia" w:ascii="黑体" w:hAnsi="黑体" w:eastAsia="黑体"/>
          <w:bCs/>
        </w:rPr>
        <w:t>5.11</w:t>
      </w:r>
      <w:r>
        <w:rPr>
          <w:rFonts w:hint="eastAsia"/>
          <w:bCs/>
        </w:rPr>
        <w:t>其</w:t>
      </w:r>
      <w:bookmarkEnd w:id="70"/>
      <w:bookmarkEnd w:id="71"/>
      <w:bookmarkStart w:id="78" w:name="_Toc3286386"/>
      <w:bookmarkStart w:id="79" w:name="_Toc3286635"/>
      <w:r>
        <w:rPr>
          <w:rFonts w:hint="eastAsia"/>
          <w:bCs/>
        </w:rPr>
        <w:t>它：本技术规范作为采购实施的依据</w:t>
      </w:r>
      <w:bookmarkEnd w:id="72"/>
      <w:bookmarkEnd w:id="73"/>
      <w:r>
        <w:rPr>
          <w:rFonts w:hint="eastAsia"/>
          <w:bCs/>
        </w:rPr>
        <w:t>。</w:t>
      </w:r>
      <w:bookmarkEnd w:id="74"/>
      <w:bookmarkEnd w:id="75"/>
      <w:bookmarkEnd w:id="76"/>
      <w:bookmarkEnd w:id="77"/>
      <w:bookmarkEnd w:id="78"/>
      <w:bookmarkEnd w:id="79"/>
      <w:bookmarkStart w:id="80" w:name="_Toc3286387"/>
      <w:bookmarkStart w:id="81" w:name="_Toc2845607"/>
      <w:bookmarkStart w:id="82" w:name="_Toc360523193"/>
      <w:bookmarkStart w:id="83" w:name="_Toc12486"/>
      <w:bookmarkStart w:id="84" w:name="_Toc3286636"/>
      <w:bookmarkStart w:id="85" w:name="_Toc2766898"/>
      <w:bookmarkStart w:id="86" w:name="_Toc373079639"/>
      <w:bookmarkStart w:id="87" w:name="_Toc2844017"/>
      <w:bookmarkStart w:id="88" w:name="_Toc370038185"/>
    </w:p>
    <w:p>
      <w:pPr>
        <w:spacing w:line="500" w:lineRule="exact"/>
        <w:outlineLvl w:val="9"/>
        <w:rPr>
          <w:bCs/>
        </w:rPr>
      </w:pPr>
      <w:r>
        <w:rPr>
          <w:rFonts w:hint="eastAsia" w:ascii="黑体" w:hAnsi="黑体" w:eastAsia="黑体"/>
          <w:bCs/>
        </w:rPr>
        <w:t>5.12</w:t>
      </w:r>
      <w:r>
        <w:rPr>
          <w:bCs/>
        </w:rPr>
        <w:t>响应及偏差</w:t>
      </w:r>
      <w:bookmarkEnd w:id="80"/>
      <w:bookmarkEnd w:id="81"/>
      <w:bookmarkEnd w:id="82"/>
      <w:bookmarkEnd w:id="83"/>
      <w:bookmarkEnd w:id="84"/>
      <w:bookmarkEnd w:id="85"/>
      <w:bookmarkEnd w:id="86"/>
      <w:bookmarkEnd w:id="87"/>
      <w:bookmarkEnd w:id="88"/>
      <w:r>
        <w:rPr>
          <w:rFonts w:hint="eastAsia"/>
          <w:bCs/>
        </w:rPr>
        <w:t>：本项目不接受商务和技术负偏差。</w:t>
      </w:r>
    </w:p>
    <w:bookmarkEnd w:id="41"/>
    <w:bookmarkEnd w:id="42"/>
    <w:bookmarkEnd w:id="43"/>
    <w:bookmarkEnd w:id="44"/>
    <w:bookmarkEnd w:id="45"/>
    <w:bookmarkEnd w:id="46"/>
    <w:bookmarkEnd w:id="47"/>
    <w:p>
      <w:pPr>
        <w:spacing w:beforeLines="100" w:afterLines="100" w:line="240" w:lineRule="auto"/>
        <w:outlineLvl w:val="9"/>
        <w:rPr>
          <w:rFonts w:ascii="黑体" w:eastAsia="黑体"/>
          <w:sz w:val="21"/>
          <w:szCs w:val="21"/>
        </w:rPr>
      </w:pPr>
      <w:bookmarkStart w:id="89" w:name="_Toc243273794"/>
      <w:bookmarkStart w:id="90" w:name="_Toc4755281"/>
      <w:bookmarkStart w:id="91" w:name="_Toc261850292"/>
      <w:bookmarkStart w:id="92" w:name="_Toc471480938"/>
      <w:bookmarkStart w:id="93" w:name="_Toc410736461"/>
      <w:bookmarkStart w:id="94" w:name="_Toc408922148"/>
      <w:bookmarkStart w:id="95" w:name="_Toc262735300"/>
      <w:bookmarkStart w:id="96" w:name="_Toc303674825"/>
      <w:bookmarkStart w:id="97" w:name="_Toc332390694"/>
      <w:r>
        <w:rPr>
          <w:rFonts w:hint="eastAsia" w:ascii="黑体" w:eastAsia="黑体"/>
          <w:sz w:val="21"/>
          <w:szCs w:val="21"/>
        </w:rPr>
        <w:t>5 供货范围及界面</w:t>
      </w:r>
      <w:bookmarkEnd w:id="89"/>
      <w:bookmarkEnd w:id="90"/>
      <w:bookmarkEnd w:id="91"/>
      <w:bookmarkEnd w:id="92"/>
      <w:bookmarkEnd w:id="93"/>
      <w:bookmarkEnd w:id="94"/>
      <w:bookmarkEnd w:id="95"/>
      <w:bookmarkEnd w:id="96"/>
      <w:bookmarkEnd w:id="97"/>
    </w:p>
    <w:p>
      <w:pPr>
        <w:spacing w:before="0" w:after="0" w:line="500" w:lineRule="exact"/>
        <w:outlineLvl w:val="9"/>
        <w:rPr>
          <w:rFonts w:ascii="黑体" w:hAnsi="黑体"/>
          <w:b w:val="0"/>
          <w:bCs w:val="0"/>
          <w:szCs w:val="21"/>
        </w:rPr>
      </w:pPr>
      <w:r>
        <w:rPr>
          <w:rFonts w:ascii="黑体" w:hAnsi="黑体"/>
          <w:b w:val="0"/>
          <w:bCs w:val="0"/>
          <w:kern w:val="0"/>
          <w:sz w:val="21"/>
          <w:szCs w:val="21"/>
        </w:rPr>
        <w:t>5.1</w:t>
      </w:r>
      <w:r>
        <w:rPr>
          <w:rFonts w:ascii="宋体" w:hAnsi="宋体" w:eastAsia="宋体"/>
          <w:b w:val="0"/>
          <w:bCs w:val="0"/>
          <w:kern w:val="0"/>
          <w:sz w:val="21"/>
          <w:szCs w:val="21"/>
        </w:rPr>
        <w:t>供货范围</w:t>
      </w:r>
    </w:p>
    <w:p>
      <w:pPr>
        <w:adjustRightInd w:val="0"/>
        <w:snapToGrid w:val="0"/>
        <w:spacing w:line="500" w:lineRule="exact"/>
        <w:ind w:firstLine="440" w:firstLineChars="200"/>
        <w:outlineLvl w:val="9"/>
        <w:rPr>
          <w:rFonts w:hAnsi="宋体"/>
          <w:szCs w:val="21"/>
        </w:rPr>
      </w:pPr>
      <w:bookmarkStart w:id="98" w:name="_Toc3286639"/>
      <w:bookmarkStart w:id="99" w:name="_Toc3286390"/>
      <w:r>
        <w:rPr>
          <w:rFonts w:hint="eastAsia" w:ascii="宋体" w:hAnsi="宋体"/>
        </w:rPr>
        <w:t>制造商</w:t>
      </w:r>
      <w:r>
        <w:rPr>
          <w:rFonts w:hint="eastAsia" w:hAnsi="宋体"/>
          <w:szCs w:val="21"/>
        </w:rPr>
        <w:t>负责供应满足技术规范内要求的其它人体静电释放仪所有设施、设备的设计、制造、安装、调试及交接工作，其中人体静电释放仪位置由双方共同确认</w:t>
      </w:r>
      <w:r>
        <w:rPr>
          <w:rFonts w:hint="eastAsia" w:ascii="宋体" w:hAnsi="宋体"/>
        </w:rPr>
        <w:t>，并在图中标识出供货界面，以及根据本技术规范要求列出详细的供货清单。制造商的供货范围应包括但不限于下列内容：</w:t>
      </w:r>
      <w:bookmarkEnd w:id="98"/>
      <w:bookmarkEnd w:id="99"/>
    </w:p>
    <w:p>
      <w:pPr>
        <w:shd w:val="clear" w:color="auto" w:fill="FFFFFF"/>
        <w:adjustRightInd w:val="0"/>
        <w:snapToGrid w:val="0"/>
        <w:spacing w:line="500" w:lineRule="exact"/>
        <w:outlineLvl w:val="9"/>
        <w:rPr>
          <w:rFonts w:ascii="黑体"/>
          <w:bCs/>
          <w:color w:val="000000"/>
        </w:rPr>
      </w:pPr>
      <w:bookmarkStart w:id="100" w:name="_Toc3286391"/>
      <w:bookmarkStart w:id="101" w:name="_Toc3286640"/>
      <w:r>
        <w:rPr>
          <w:rFonts w:ascii="黑体" w:hAnsi="黑体"/>
          <w:bCs/>
          <w:szCs w:val="21"/>
        </w:rPr>
        <w:t>5.1.1</w:t>
      </w:r>
      <w:r>
        <w:rPr>
          <w:rFonts w:hint="eastAsia" w:ascii="宋体" w:hAnsi="宋体"/>
          <w:bCs/>
          <w:color w:val="000000"/>
        </w:rPr>
        <w:t>主要设备供货名称</w:t>
      </w:r>
    </w:p>
    <w:p>
      <w:pPr>
        <w:adjustRightInd w:val="0"/>
        <w:snapToGrid w:val="0"/>
        <w:spacing w:line="500" w:lineRule="exact"/>
        <w:ind w:firstLine="440" w:firstLineChars="200"/>
        <w:outlineLvl w:val="9"/>
        <w:rPr>
          <w:rFonts w:hAnsi="宋体"/>
          <w:szCs w:val="21"/>
        </w:rPr>
      </w:pPr>
      <w:r>
        <w:rPr>
          <w:rFonts w:hint="eastAsia" w:hAnsi="宋体"/>
          <w:szCs w:val="21"/>
        </w:rPr>
        <w:t>人体静电释放仪清单详见表1：</w:t>
      </w:r>
    </w:p>
    <w:tbl>
      <w:tblPr>
        <w:tblStyle w:val="6"/>
        <w:tblW w:w="5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790"/>
        <w:gridCol w:w="1126"/>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57" w:type="dxa"/>
            <w:vAlign w:val="center"/>
          </w:tcPr>
          <w:p>
            <w:pPr>
              <w:adjustRightInd w:val="0"/>
              <w:snapToGrid w:val="0"/>
              <w:jc w:val="center"/>
              <w:outlineLvl w:val="9"/>
              <w:rPr>
                <w:rFonts w:ascii="宋体" w:hAnsi="宋体"/>
                <w:b/>
                <w:szCs w:val="21"/>
              </w:rPr>
            </w:pPr>
            <w:r>
              <w:rPr>
                <w:rFonts w:hint="eastAsia" w:ascii="宋体" w:hAnsi="宋体"/>
                <w:b/>
                <w:szCs w:val="21"/>
              </w:rPr>
              <w:t>序号</w:t>
            </w:r>
          </w:p>
        </w:tc>
        <w:tc>
          <w:tcPr>
            <w:tcW w:w="2790" w:type="dxa"/>
            <w:vAlign w:val="center"/>
          </w:tcPr>
          <w:p>
            <w:pPr>
              <w:adjustRightInd w:val="0"/>
              <w:snapToGrid w:val="0"/>
              <w:ind w:firstLine="442" w:firstLineChars="200"/>
              <w:jc w:val="center"/>
              <w:outlineLvl w:val="9"/>
              <w:rPr>
                <w:rFonts w:ascii="宋体" w:hAnsi="宋体"/>
                <w:b/>
                <w:szCs w:val="21"/>
              </w:rPr>
            </w:pPr>
            <w:r>
              <w:rPr>
                <w:rFonts w:hint="eastAsia" w:ascii="宋体" w:hAnsi="宋体"/>
                <w:b/>
                <w:szCs w:val="21"/>
              </w:rPr>
              <w:t>名 称</w:t>
            </w:r>
          </w:p>
        </w:tc>
        <w:tc>
          <w:tcPr>
            <w:tcW w:w="1126" w:type="dxa"/>
            <w:vAlign w:val="center"/>
          </w:tcPr>
          <w:p>
            <w:pPr>
              <w:adjustRightInd w:val="0"/>
              <w:snapToGrid w:val="0"/>
              <w:jc w:val="center"/>
              <w:outlineLvl w:val="9"/>
              <w:rPr>
                <w:rFonts w:ascii="宋体" w:hAnsi="宋体"/>
                <w:b/>
                <w:szCs w:val="21"/>
              </w:rPr>
            </w:pPr>
            <w:r>
              <w:rPr>
                <w:rFonts w:hint="eastAsia" w:ascii="宋体" w:hAnsi="宋体"/>
                <w:b/>
                <w:szCs w:val="21"/>
              </w:rPr>
              <w:t>单位</w:t>
            </w:r>
          </w:p>
        </w:tc>
        <w:tc>
          <w:tcPr>
            <w:tcW w:w="747" w:type="dxa"/>
            <w:vAlign w:val="center"/>
          </w:tcPr>
          <w:p>
            <w:pPr>
              <w:adjustRightInd w:val="0"/>
              <w:snapToGrid w:val="0"/>
              <w:jc w:val="center"/>
              <w:outlineLvl w:val="9"/>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7" w:type="dxa"/>
            <w:vAlign w:val="center"/>
          </w:tcPr>
          <w:p>
            <w:pPr>
              <w:adjustRightInd w:val="0"/>
              <w:snapToGrid w:val="0"/>
              <w:ind w:firstLine="440" w:firstLineChars="200"/>
              <w:jc w:val="both"/>
              <w:outlineLvl w:val="9"/>
              <w:rPr>
                <w:rFonts w:ascii="宋体" w:hAnsi="宋体"/>
                <w:szCs w:val="21"/>
              </w:rPr>
            </w:pPr>
            <w:r>
              <w:rPr>
                <w:rFonts w:hint="eastAsia" w:ascii="宋体" w:hAnsi="宋体"/>
                <w:szCs w:val="21"/>
              </w:rPr>
              <w:t>1</w:t>
            </w:r>
          </w:p>
        </w:tc>
        <w:tc>
          <w:tcPr>
            <w:tcW w:w="2790" w:type="dxa"/>
            <w:vAlign w:val="center"/>
          </w:tcPr>
          <w:p>
            <w:pPr>
              <w:adjustRightInd w:val="0"/>
              <w:snapToGrid w:val="0"/>
              <w:jc w:val="center"/>
              <w:outlineLvl w:val="9"/>
              <w:rPr>
                <w:rFonts w:hint="default" w:ascii="宋体" w:hAnsi="宋体" w:eastAsia="宋体"/>
                <w:szCs w:val="21"/>
                <w:lang w:val="en-US" w:eastAsia="zh-CN"/>
              </w:rPr>
            </w:pPr>
            <w:r>
              <w:rPr>
                <w:rFonts w:hint="eastAsia" w:ascii="宋体" w:hAnsi="宋体"/>
                <w:szCs w:val="21"/>
              </w:rPr>
              <w:t>人体静电</w:t>
            </w:r>
            <w:r>
              <w:rPr>
                <w:rFonts w:hint="eastAsia" w:ascii="宋体" w:hAnsi="宋体"/>
                <w:szCs w:val="21"/>
                <w:lang w:eastAsia="zh-CN"/>
              </w:rPr>
              <w:t>释放仪</w:t>
            </w:r>
          </w:p>
        </w:tc>
        <w:tc>
          <w:tcPr>
            <w:tcW w:w="1126" w:type="dxa"/>
            <w:vAlign w:val="center"/>
          </w:tcPr>
          <w:p>
            <w:pPr>
              <w:adjustRightInd w:val="0"/>
              <w:snapToGrid w:val="0"/>
              <w:jc w:val="center"/>
              <w:outlineLvl w:val="9"/>
              <w:rPr>
                <w:rFonts w:ascii="宋体" w:hAnsi="宋体"/>
                <w:szCs w:val="21"/>
              </w:rPr>
            </w:pPr>
            <w:r>
              <w:rPr>
                <w:rFonts w:hint="eastAsia" w:ascii="宋体" w:hAnsi="宋体"/>
                <w:szCs w:val="21"/>
              </w:rPr>
              <w:t>台</w:t>
            </w:r>
          </w:p>
        </w:tc>
        <w:tc>
          <w:tcPr>
            <w:tcW w:w="747" w:type="dxa"/>
            <w:vAlign w:val="center"/>
          </w:tcPr>
          <w:p>
            <w:pPr>
              <w:adjustRightInd w:val="0"/>
              <w:snapToGrid w:val="0"/>
              <w:jc w:val="center"/>
              <w:outlineLvl w:val="9"/>
              <w:rPr>
                <w:rFonts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7" w:type="dxa"/>
            <w:vAlign w:val="center"/>
          </w:tcPr>
          <w:p>
            <w:pPr>
              <w:adjustRightInd w:val="0"/>
              <w:snapToGrid w:val="0"/>
              <w:ind w:firstLine="440" w:firstLineChars="200"/>
              <w:jc w:val="both"/>
              <w:outlineLvl w:val="9"/>
              <w:rPr>
                <w:rFonts w:ascii="宋体" w:hAnsi="宋体"/>
                <w:szCs w:val="21"/>
              </w:rPr>
            </w:pPr>
            <w:r>
              <w:rPr>
                <w:rFonts w:hint="eastAsia" w:ascii="宋体" w:hAnsi="宋体"/>
                <w:szCs w:val="21"/>
              </w:rPr>
              <w:t>2</w:t>
            </w:r>
          </w:p>
        </w:tc>
        <w:tc>
          <w:tcPr>
            <w:tcW w:w="2790" w:type="dxa"/>
            <w:vAlign w:val="center"/>
          </w:tcPr>
          <w:p>
            <w:pPr>
              <w:adjustRightInd w:val="0"/>
              <w:snapToGrid w:val="0"/>
              <w:ind w:firstLine="440" w:firstLineChars="200"/>
              <w:outlineLvl w:val="9"/>
              <w:rPr>
                <w:rFonts w:hint="default" w:ascii="宋体" w:hAnsi="宋体" w:eastAsia="宋体"/>
                <w:szCs w:val="21"/>
                <w:lang w:val="en-US" w:eastAsia="zh-CN"/>
              </w:rPr>
            </w:pPr>
            <w:r>
              <w:rPr>
                <w:rFonts w:hint="eastAsia" w:ascii="宋体" w:hAnsi="宋体"/>
                <w:szCs w:val="21"/>
              </w:rPr>
              <w:t>人体静电</w:t>
            </w:r>
            <w:r>
              <w:rPr>
                <w:rFonts w:hint="eastAsia" w:ascii="宋体" w:hAnsi="宋体"/>
                <w:szCs w:val="21"/>
                <w:lang w:eastAsia="zh-CN"/>
              </w:rPr>
              <w:t>释放报警器</w:t>
            </w:r>
          </w:p>
        </w:tc>
        <w:tc>
          <w:tcPr>
            <w:tcW w:w="1126" w:type="dxa"/>
            <w:vAlign w:val="center"/>
          </w:tcPr>
          <w:p>
            <w:pPr>
              <w:adjustRightInd w:val="0"/>
              <w:snapToGrid w:val="0"/>
              <w:jc w:val="center"/>
              <w:outlineLvl w:val="9"/>
              <w:rPr>
                <w:rFonts w:ascii="宋体" w:hAnsi="宋体"/>
                <w:szCs w:val="21"/>
              </w:rPr>
            </w:pPr>
            <w:r>
              <w:rPr>
                <w:rFonts w:hint="eastAsia" w:ascii="宋体" w:hAnsi="宋体"/>
                <w:szCs w:val="21"/>
              </w:rPr>
              <w:t>台</w:t>
            </w:r>
          </w:p>
        </w:tc>
        <w:tc>
          <w:tcPr>
            <w:tcW w:w="747" w:type="dxa"/>
            <w:vAlign w:val="center"/>
          </w:tcPr>
          <w:p>
            <w:pPr>
              <w:adjustRightInd w:val="0"/>
              <w:snapToGrid w:val="0"/>
              <w:ind w:firstLine="440" w:firstLineChars="200"/>
              <w:jc w:val="center"/>
              <w:outlineLvl w:val="9"/>
              <w:rPr>
                <w:rFonts w:ascii="宋体" w:hAnsi="宋体"/>
                <w:szCs w:val="21"/>
              </w:rPr>
            </w:pPr>
          </w:p>
        </w:tc>
      </w:tr>
      <w:bookmarkEnd w:id="100"/>
      <w:bookmarkEnd w:id="101"/>
    </w:tbl>
    <w:p>
      <w:pPr>
        <w:spacing w:beforeLines="100" w:afterLines="100" w:line="240" w:lineRule="auto"/>
        <w:outlineLvl w:val="9"/>
        <w:rPr>
          <w:rFonts w:hint="eastAsia" w:ascii="黑体" w:eastAsia="黑体"/>
          <w:sz w:val="21"/>
          <w:szCs w:val="21"/>
          <w:lang w:eastAsia="zh-CN"/>
        </w:rPr>
      </w:pPr>
      <w:bookmarkStart w:id="102" w:name="_Toc303674826"/>
      <w:bookmarkStart w:id="103" w:name="_Toc410736462"/>
      <w:bookmarkStart w:id="104" w:name="_Toc332390695"/>
      <w:bookmarkStart w:id="105" w:name="_Toc4755282"/>
      <w:bookmarkStart w:id="106" w:name="_Toc471480939"/>
      <w:bookmarkStart w:id="107" w:name="_Toc408922149"/>
      <w:bookmarkStart w:id="108" w:name="_Toc243273795"/>
      <w:r>
        <w:rPr>
          <w:rFonts w:hint="eastAsia" w:ascii="黑体" w:eastAsia="黑体"/>
          <w:sz w:val="21"/>
          <w:szCs w:val="21"/>
        </w:rPr>
        <w:t>6   技术</w:t>
      </w:r>
      <w:bookmarkEnd w:id="102"/>
      <w:r>
        <w:rPr>
          <w:rFonts w:hint="eastAsia" w:ascii="黑体" w:eastAsia="黑体"/>
          <w:sz w:val="21"/>
          <w:szCs w:val="21"/>
        </w:rPr>
        <w:t>要求</w:t>
      </w:r>
      <w:bookmarkEnd w:id="103"/>
      <w:bookmarkEnd w:id="104"/>
      <w:bookmarkEnd w:id="105"/>
      <w:bookmarkEnd w:id="106"/>
      <w:bookmarkEnd w:id="107"/>
    </w:p>
    <w:p>
      <w:pPr>
        <w:tabs>
          <w:tab w:val="left" w:pos="426"/>
        </w:tabs>
        <w:snapToGrid w:val="0"/>
        <w:spacing w:line="360" w:lineRule="auto"/>
        <w:outlineLvl w:val="9"/>
        <w:rPr>
          <w:rFonts w:ascii="宋体" w:hAnsi="宋体" w:cs="宋体"/>
          <w:b/>
        </w:rPr>
      </w:pPr>
      <w:bookmarkStart w:id="109" w:name="_Toc2624984"/>
      <w:bookmarkStart w:id="110" w:name="_Toc4755283"/>
      <w:bookmarkStart w:id="111" w:name="_Toc471480948"/>
      <w:bookmarkStart w:id="112" w:name="_Hlk2691348"/>
      <w:bookmarkStart w:id="113" w:name="_Toc261850294"/>
      <w:bookmarkStart w:id="114" w:name="_Toc408922151"/>
      <w:bookmarkStart w:id="115" w:name="_Toc243273796"/>
      <w:bookmarkStart w:id="116" w:name="_Toc410736465"/>
      <w:bookmarkStart w:id="117" w:name="_Toc332390696"/>
      <w:bookmarkStart w:id="118" w:name="_Toc262735302"/>
      <w:bookmarkStart w:id="119" w:name="_Toc303674827"/>
      <w:r>
        <w:rPr>
          <w:rFonts w:hint="eastAsia" w:ascii="宋体" w:hAnsi="宋体" w:cs="宋体"/>
          <w:b/>
        </w:rPr>
        <w:t>6.1人体静电</w:t>
      </w:r>
      <w:r>
        <w:rPr>
          <w:rFonts w:hint="eastAsia" w:ascii="宋体" w:hAnsi="宋体" w:cs="宋体"/>
          <w:b/>
          <w:lang w:eastAsia="zh-CN"/>
        </w:rPr>
        <w:t>释放仪（</w:t>
      </w:r>
      <w:r>
        <w:rPr>
          <w:rFonts w:hint="eastAsia" w:ascii="宋体" w:hAnsi="宋体" w:cs="宋体"/>
          <w:b/>
          <w:lang w:val="en-US" w:eastAsia="zh-CN"/>
        </w:rPr>
        <w:t>基本型）</w:t>
      </w:r>
      <w:r>
        <w:rPr>
          <w:rFonts w:hint="eastAsia" w:ascii="宋体" w:hAnsi="宋体" w:cs="宋体"/>
          <w:b/>
        </w:rPr>
        <w:t xml:space="preserve"> </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6.1.1 触摸体采用半导体（PE）材料制成，不得采用任何金属材料制作，触摸体必须坚固耐用，磕碰不能变形、受到划伤不影响产品性能；并在不锈钢支撑体上配有醒目的产品使用提示标牌，防爆等级不低于</w:t>
      </w:r>
      <w:r>
        <w:rPr>
          <w:rFonts w:hint="eastAsia" w:ascii="宋体" w:hAnsi="宋体" w:cs="宋体"/>
          <w:b w:val="0"/>
          <w:bCs w:val="0"/>
          <w:color w:val="auto"/>
          <w:highlight w:val="yellow"/>
        </w:rPr>
        <w:t>Ex ia IIC T6 Gb或Ex ib IIC T6 Gb</w:t>
      </w:r>
      <w:r>
        <w:rPr>
          <w:rFonts w:hint="eastAsia" w:ascii="宋体" w:hAnsi="宋体" w:cs="宋体"/>
          <w:szCs w:val="21"/>
        </w:rPr>
        <w:t>。</w:t>
      </w:r>
    </w:p>
    <w:p>
      <w:pPr>
        <w:widowControl/>
        <w:autoSpaceDE w:val="0"/>
        <w:autoSpaceDN w:val="0"/>
        <w:adjustRightInd w:val="0"/>
        <w:spacing w:line="360" w:lineRule="auto"/>
        <w:outlineLvl w:val="9"/>
        <w:rPr>
          <w:rFonts w:hint="eastAsia" w:ascii="宋体" w:hAnsi="宋体" w:cs="宋体"/>
          <w:szCs w:val="21"/>
          <w:highlight w:val="none"/>
          <w:lang w:eastAsia="zh-CN"/>
        </w:rPr>
      </w:pPr>
      <w:r>
        <w:rPr>
          <w:rFonts w:hint="eastAsia" w:ascii="宋体" w:hAnsi="宋体" w:cs="宋体"/>
          <w:szCs w:val="21"/>
          <w:highlight w:val="none"/>
        </w:rPr>
        <w:t>6</w:t>
      </w:r>
      <w:r>
        <w:rPr>
          <w:rFonts w:ascii="宋体" w:hAnsi="宋体" w:cs="宋体"/>
          <w:szCs w:val="21"/>
          <w:highlight w:val="none"/>
        </w:rPr>
        <w:t>.1</w:t>
      </w:r>
      <w:r>
        <w:rPr>
          <w:rFonts w:hint="eastAsia" w:ascii="宋体" w:hAnsi="宋体" w:cs="宋体"/>
          <w:szCs w:val="21"/>
          <w:highlight w:val="none"/>
        </w:rPr>
        <w:t>.2 带电人体放电电荷转移量＜0.1uC</w:t>
      </w:r>
      <w:r>
        <w:rPr>
          <w:rFonts w:hint="eastAsia" w:ascii="宋体" w:hAnsi="宋体" w:cs="宋体"/>
          <w:szCs w:val="21"/>
          <w:highlight w:val="none"/>
          <w:lang w:eastAsia="zh-CN"/>
        </w:rPr>
        <w:t>；</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.3 内置高性能锂电池，供电工作时间＞5年；</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.4 报警方式：语音报警；</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.5 报警：报警电压＞100V报警，阻值报警＞10Ω。</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.6 耐静电压范围：-15KV---+15KV；</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.7 休眠电流＜20uA，工作电流＜5mA；</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.8 指示灯：红绿双基色；</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.9 立杆材质：316不锈钢；</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.10 立杆直径：Φ40mm；</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.11立杆壁厚：≥1.5mm；</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.12 接地线长度：≥3米；</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6.1.13 使用温度：-40℃~80℃；使用湿度：0~95%RH；</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6.1.14 静电泄放时间≥3s</w:t>
      </w:r>
    </w:p>
    <w:p>
      <w:pPr>
        <w:tabs>
          <w:tab w:val="left" w:pos="426"/>
        </w:tabs>
        <w:snapToGrid w:val="0"/>
        <w:spacing w:line="360" w:lineRule="auto"/>
        <w:outlineLvl w:val="9"/>
        <w:rPr>
          <w:rFonts w:hint="eastAsia" w:ascii="宋体" w:hAnsi="宋体" w:eastAsia="宋体" w:cs="宋体"/>
          <w:b/>
          <w:lang w:eastAsia="zh-CN"/>
        </w:rPr>
      </w:pPr>
      <w:r>
        <w:rPr>
          <w:rFonts w:hint="eastAsia" w:ascii="宋体" w:hAnsi="宋体" w:cs="宋体"/>
          <w:b/>
        </w:rPr>
        <w:t>6.2人体静电</w:t>
      </w:r>
      <w:r>
        <w:rPr>
          <w:rFonts w:hint="eastAsia" w:ascii="宋体" w:hAnsi="宋体" w:cs="宋体"/>
          <w:b/>
          <w:lang w:eastAsia="zh-CN"/>
        </w:rPr>
        <w:t>释放报警器（智能型）</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.1 触摸体采用半导体（PE）材料制成，不得采用任何金属材料制作，触摸体必须坚固耐用，磕碰不能变形、受到划伤不影响产品性能；并在不锈钢支撑体上配有醒目的产品使用提示标牌，防爆等级不低于</w:t>
      </w:r>
      <w:r>
        <w:rPr>
          <w:rFonts w:hint="eastAsia" w:ascii="宋体" w:hAnsi="宋体" w:cs="宋体"/>
          <w:b w:val="0"/>
          <w:bCs w:val="0"/>
          <w:color w:val="auto"/>
          <w:highlight w:val="yellow"/>
        </w:rPr>
        <w:t>Ex ia IIC T6 Gb或Ex ib IIC T6 Gb</w:t>
      </w:r>
      <w:r>
        <w:rPr>
          <w:rFonts w:hint="eastAsia" w:ascii="宋体" w:hAnsi="宋体" w:cs="宋体"/>
          <w:szCs w:val="21"/>
        </w:rPr>
        <w:t>。</w:t>
      </w:r>
    </w:p>
    <w:p>
      <w:pPr>
        <w:widowControl/>
        <w:autoSpaceDE w:val="0"/>
        <w:autoSpaceDN w:val="0"/>
        <w:adjustRightInd w:val="0"/>
        <w:spacing w:line="360" w:lineRule="auto"/>
        <w:outlineLvl w:val="9"/>
        <w:rPr>
          <w:rFonts w:hint="eastAsia" w:ascii="宋体" w:hAnsi="宋体" w:cs="宋体"/>
          <w:szCs w:val="21"/>
          <w:highlight w:val="none"/>
          <w:lang w:eastAsia="zh-CN"/>
        </w:rPr>
      </w:pPr>
      <w:r>
        <w:rPr>
          <w:rFonts w:hint="eastAsia" w:ascii="宋体" w:hAnsi="宋体" w:cs="宋体"/>
          <w:szCs w:val="21"/>
          <w:highlight w:val="none"/>
        </w:rPr>
        <w:t>6</w:t>
      </w:r>
      <w:r>
        <w:rPr>
          <w:rFonts w:ascii="宋体" w:hAnsi="宋体" w:cs="宋体"/>
          <w:szCs w:val="21"/>
          <w:highlight w:val="none"/>
        </w:rPr>
        <w:t>.2</w:t>
      </w:r>
      <w:r>
        <w:rPr>
          <w:rFonts w:hint="eastAsia" w:ascii="宋体" w:hAnsi="宋体" w:cs="宋体"/>
          <w:szCs w:val="21"/>
          <w:highlight w:val="none"/>
        </w:rPr>
        <w:t>.2 带电人体放电电荷转移量＜0.1uC</w:t>
      </w:r>
      <w:r>
        <w:rPr>
          <w:rFonts w:hint="eastAsia" w:ascii="宋体" w:hAnsi="宋体" w:cs="宋体"/>
          <w:szCs w:val="21"/>
          <w:highlight w:val="none"/>
          <w:lang w:eastAsia="zh-CN"/>
        </w:rPr>
        <w:t>；</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.3 内置高性能锂电池，供电工作时间＞5年；</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.4 具有“来人提醒泄放静电”、“静电压值是否安全”、“接地阻值是否安全”三种状态自识别功能，并根据状态进行语音提示，具有故障自诊断功能；</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.5 显示功能：采用进口低温液晶显示屏显示，可显示静电压值、接地电阻值等状态信息；</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.6 报警阻值：报警电压值50V--150V可调，报警阻值10Ω--100Ω可调；</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.7 耐静电压范围：-15KV---+15KV；</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.8 休眠电流＜20uA，工作电流＜10mA，锂电池正常工作时间＞5年；</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.9 立杆材质：316不锈钢；</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.10 立杆直径：Φ40mm，立杆壁厚：≥1.5mm；</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.11 脚盘直径≥180mm，厚≥3mm；</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.12 接地线长度：≥3米；</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.13 使用温度：-40℃~80℃；使用湿度：0~95%RH；</w:t>
      </w:r>
    </w:p>
    <w:p>
      <w:pPr>
        <w:widowControl/>
        <w:autoSpaceDE w:val="0"/>
        <w:autoSpaceDN w:val="0"/>
        <w:adjustRightInd w:val="0"/>
        <w:spacing w:line="360" w:lineRule="auto"/>
        <w:outlineLvl w:val="9"/>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.14 静电泄放时间≥3s</w:t>
      </w:r>
    </w:p>
    <w:p>
      <w:pPr>
        <w:tabs>
          <w:tab w:val="left" w:pos="426"/>
        </w:tabs>
        <w:snapToGrid w:val="0"/>
        <w:spacing w:line="360" w:lineRule="auto"/>
        <w:outlineLvl w:val="9"/>
        <w:rPr>
          <w:rFonts w:ascii="宋体" w:hAnsi="宋体" w:cs="宋体"/>
          <w:b/>
        </w:rPr>
      </w:pPr>
      <w:r>
        <w:rPr>
          <w:rFonts w:hint="eastAsia" w:ascii="宋体" w:hAnsi="宋体" w:cs="宋体"/>
          <w:b/>
        </w:rPr>
        <w:t>6</w:t>
      </w:r>
      <w:r>
        <w:rPr>
          <w:rFonts w:ascii="宋体" w:hAnsi="宋体" w:cs="宋体"/>
          <w:b/>
        </w:rPr>
        <w:t>.</w:t>
      </w:r>
      <w:r>
        <w:rPr>
          <w:rFonts w:hint="eastAsia" w:ascii="宋体" w:hAnsi="宋体" w:cs="宋体"/>
          <w:b/>
        </w:rPr>
        <w:t>3 适用范围</w:t>
      </w:r>
    </w:p>
    <w:p>
      <w:pPr>
        <w:tabs>
          <w:tab w:val="left" w:pos="426"/>
        </w:tabs>
        <w:snapToGrid w:val="0"/>
        <w:spacing w:line="360" w:lineRule="auto"/>
        <w:outlineLvl w:val="9"/>
        <w:rPr>
          <w:rFonts w:ascii="宋体" w:hAnsi="宋体"/>
          <w:szCs w:val="21"/>
        </w:rPr>
      </w:pPr>
      <w:r>
        <w:rPr>
          <w:rFonts w:hint="eastAsia" w:ascii="宋体" w:hAnsi="宋体"/>
          <w:szCs w:val="21"/>
        </w:rPr>
        <w:t>6.3.1 本部分的适用范围仅限于工程中涉及的产品，内容包括设计、结构、性能、安装、试验、调试及现场服务和技术服务。</w:t>
      </w:r>
    </w:p>
    <w:p>
      <w:pPr>
        <w:tabs>
          <w:tab w:val="left" w:pos="426"/>
        </w:tabs>
        <w:snapToGrid w:val="0"/>
        <w:spacing w:line="360" w:lineRule="auto"/>
        <w:outlineLvl w:val="9"/>
        <w:rPr>
          <w:rFonts w:ascii="宋体" w:hAnsi="宋体"/>
          <w:szCs w:val="21"/>
        </w:rPr>
      </w:pPr>
      <w:r>
        <w:rPr>
          <w:rFonts w:hint="eastAsia" w:ascii="宋体" w:hAnsi="宋体"/>
          <w:szCs w:val="21"/>
        </w:rPr>
        <w:t>6.3.2 供货商应不晚于签约后2周内，向采购方提出一个详尽的生产进度计划表，包括产品设计、材料采购、产品制造、厂内测试以及运输等项的详情，以确定每部分工作及其进度。</w:t>
      </w:r>
    </w:p>
    <w:p>
      <w:pPr>
        <w:tabs>
          <w:tab w:val="left" w:pos="426"/>
        </w:tabs>
        <w:snapToGrid w:val="0"/>
        <w:spacing w:line="360" w:lineRule="auto"/>
        <w:outlineLvl w:val="9"/>
        <w:rPr>
          <w:rFonts w:ascii="宋体" w:hAnsi="宋体"/>
          <w:szCs w:val="21"/>
        </w:rPr>
      </w:pPr>
      <w:r>
        <w:rPr>
          <w:rFonts w:hint="eastAsia" w:ascii="宋体" w:hAnsi="宋体"/>
          <w:szCs w:val="21"/>
        </w:rPr>
        <w:t>6.3.3 工作进度如有延误，供货商应及时向采购方说明原因、后果及采取的补救措施等。</w:t>
      </w:r>
    </w:p>
    <w:p>
      <w:pPr>
        <w:tabs>
          <w:tab w:val="left" w:pos="426"/>
        </w:tabs>
        <w:snapToGrid w:val="0"/>
        <w:spacing w:line="360" w:lineRule="auto"/>
        <w:outlineLvl w:val="9"/>
        <w:rPr>
          <w:rFonts w:ascii="宋体" w:hAnsi="宋体" w:cs="宋体"/>
          <w:b/>
        </w:rPr>
      </w:pPr>
      <w:bookmarkStart w:id="120" w:name="_Toc21335"/>
      <w:r>
        <w:rPr>
          <w:rFonts w:hint="eastAsia" w:ascii="宋体" w:hAnsi="宋体" w:cs="宋体"/>
          <w:b/>
        </w:rPr>
        <w:t>6</w:t>
      </w:r>
      <w:r>
        <w:rPr>
          <w:rFonts w:ascii="宋体" w:hAnsi="宋体" w:cs="宋体"/>
          <w:b/>
        </w:rPr>
        <w:t>.</w:t>
      </w:r>
      <w:bookmarkEnd w:id="120"/>
      <w:r>
        <w:rPr>
          <w:rFonts w:hint="eastAsia" w:ascii="宋体" w:hAnsi="宋体" w:cs="宋体"/>
          <w:b/>
        </w:rPr>
        <w:t>4对设计图纸、说明书和试验报告的要求</w:t>
      </w:r>
    </w:p>
    <w:p>
      <w:pPr>
        <w:spacing w:line="360" w:lineRule="auto"/>
        <w:outlineLvl w:val="9"/>
        <w:rPr>
          <w:rFonts w:ascii="宋体" w:hAnsi="宋体"/>
          <w:szCs w:val="21"/>
        </w:rPr>
      </w:pPr>
      <w:bookmarkStart w:id="121" w:name="_Toc30288"/>
      <w:r>
        <w:rPr>
          <w:rFonts w:hint="eastAsia" w:ascii="宋体" w:hAnsi="宋体"/>
          <w:szCs w:val="21"/>
        </w:rPr>
        <w:t>6</w:t>
      </w:r>
      <w:r>
        <w:rPr>
          <w:rFonts w:ascii="宋体" w:hAnsi="宋体"/>
          <w:szCs w:val="21"/>
        </w:rPr>
        <w:t>.</w:t>
      </w:r>
      <w:r>
        <w:rPr>
          <w:rFonts w:hint="eastAsia" w:ascii="宋体" w:hAnsi="宋体"/>
          <w:szCs w:val="21"/>
        </w:rPr>
        <w:t>4</w:t>
      </w:r>
      <w:r>
        <w:rPr>
          <w:rFonts w:ascii="宋体" w:hAnsi="宋体"/>
          <w:szCs w:val="21"/>
        </w:rPr>
        <w:t>.1</w:t>
      </w:r>
      <w:bookmarkEnd w:id="121"/>
      <w:r>
        <w:rPr>
          <w:rFonts w:hint="eastAsia" w:ascii="宋体" w:hAnsi="宋体"/>
          <w:szCs w:val="21"/>
        </w:rPr>
        <w:t>图纸及图纸的认可和交付</w:t>
      </w:r>
    </w:p>
    <w:p>
      <w:pPr>
        <w:spacing w:line="360" w:lineRule="auto"/>
        <w:outlineLvl w:val="9"/>
        <w:rPr>
          <w:rFonts w:ascii="宋体" w:hAnsi="宋体"/>
          <w:szCs w:val="21"/>
        </w:rPr>
      </w:pPr>
      <w:bookmarkStart w:id="122" w:name="_Toc471472905"/>
      <w:bookmarkStart w:id="123" w:name="_Toc471471480"/>
      <w:r>
        <w:rPr>
          <w:rFonts w:hint="eastAsia" w:ascii="宋体" w:hAnsi="宋体"/>
          <w:szCs w:val="21"/>
        </w:rPr>
        <w:t>6.4.1.1 所有需经采购方确认的图纸和说明文件，均应由供货商在合同生效后的 4 周内提交给采购方进行审定认可。采购方审定时有权提出修改意见。采购方在收到需认可图纸 1 周后，将一套确认的或签有采购方校定标记的图纸（采购方负责人签字）返还给供货商。 凡采购方认为需要修改且经供货商认可的，不得对采购方增加费用。 在未经采购方对图纸作最后认可前，任何采购或加工的材料损失应由供货商单独承担。</w:t>
      </w:r>
    </w:p>
    <w:p>
      <w:pPr>
        <w:spacing w:line="360" w:lineRule="auto"/>
        <w:outlineLvl w:val="9"/>
        <w:rPr>
          <w:rFonts w:ascii="宋体" w:hAnsi="宋体"/>
          <w:szCs w:val="21"/>
        </w:rPr>
      </w:pPr>
      <w:r>
        <w:rPr>
          <w:rFonts w:hint="eastAsia" w:ascii="宋体" w:hAnsi="宋体"/>
          <w:szCs w:val="21"/>
        </w:rPr>
        <w:t>6.4.1.2 供货商在收到采购方确认图纸（包括认可方修正意见）后，应于 2 周内向 6.4.1.1 款所列有关单位提供最终版的正式图纸和一套供复制用的底图及正式的光盘，正式图纸应加盖工厂公章或签字。</w:t>
      </w:r>
    </w:p>
    <w:p>
      <w:pPr>
        <w:spacing w:line="360" w:lineRule="auto"/>
        <w:outlineLvl w:val="9"/>
        <w:rPr>
          <w:rFonts w:ascii="宋体" w:hAnsi="宋体"/>
          <w:szCs w:val="21"/>
        </w:rPr>
      </w:pPr>
      <w:r>
        <w:rPr>
          <w:rFonts w:hint="eastAsia" w:ascii="宋体" w:hAnsi="宋体"/>
          <w:szCs w:val="21"/>
        </w:rPr>
        <w:t>6.4.1.3 完工后的产品应与最后确认的图纸一致。采购方对图纸的认可并不减轻供货商关于其图纸的正确性的责任。设备在现场安装时，如供货商技术人员进一步修改图纸，供货商应对图纸重新收编成册，正式递交采购方，并保证安装后的设备与图纸完全相符。</w:t>
      </w:r>
    </w:p>
    <w:p>
      <w:pPr>
        <w:spacing w:line="360" w:lineRule="auto"/>
        <w:outlineLvl w:val="9"/>
        <w:rPr>
          <w:rFonts w:ascii="宋体" w:hAnsi="宋体"/>
          <w:szCs w:val="21"/>
        </w:rPr>
      </w:pPr>
      <w:r>
        <w:rPr>
          <w:rFonts w:hint="eastAsia" w:ascii="宋体" w:hAnsi="宋体"/>
          <w:szCs w:val="21"/>
        </w:rPr>
        <w:t>6.4.1.4 图纸的格式：所有图纸均应有标题栏、相应编号、全部符号和部件标志，文字均用中文，并使用 SI 国际单位制。对于进口设备以中文为主，当采购方对英文局部有疑问时，供货商应进行书面解释。供货商免费提供给采购方全部最终版的图纸、资料及说明书。其中图纸应包括 6.4.1.1 款所涉及的图纸，并且应保证采购方可按最终版的图纸资料对所供设备进行维护和更换零部件。</w:t>
      </w:r>
    </w:p>
    <w:bookmarkEnd w:id="122"/>
    <w:bookmarkEnd w:id="123"/>
    <w:p>
      <w:pPr>
        <w:spacing w:beforeLines="100" w:afterLines="100" w:line="240" w:lineRule="auto"/>
        <w:outlineLvl w:val="9"/>
        <w:rPr>
          <w:rFonts w:ascii="黑体" w:eastAsia="黑体"/>
          <w:sz w:val="21"/>
          <w:szCs w:val="21"/>
        </w:rPr>
      </w:pPr>
      <w:r>
        <w:rPr>
          <w:rFonts w:hint="eastAsia" w:ascii="黑体" w:eastAsia="黑体"/>
          <w:sz w:val="21"/>
          <w:szCs w:val="21"/>
        </w:rPr>
        <w:t>7   安装要求</w:t>
      </w:r>
      <w:bookmarkEnd w:id="109"/>
      <w:bookmarkEnd w:id="110"/>
    </w:p>
    <w:bookmarkEnd w:id="111"/>
    <w:bookmarkEnd w:id="112"/>
    <w:p>
      <w:pPr>
        <w:spacing w:line="360" w:lineRule="auto"/>
        <w:outlineLvl w:val="9"/>
        <w:rPr>
          <w:rFonts w:ascii="宋体" w:hAnsi="宋体"/>
          <w:szCs w:val="21"/>
        </w:rPr>
      </w:pPr>
      <w:bookmarkStart w:id="124" w:name="_Toc2845620"/>
      <w:bookmarkStart w:id="125" w:name="_Toc2844030"/>
      <w:bookmarkStart w:id="126" w:name="_Toc4755284"/>
      <w:bookmarkStart w:id="127" w:name="_Toc2624985"/>
      <w:bookmarkStart w:id="128" w:name="_Toc29804737"/>
      <w:bookmarkStart w:id="129" w:name="_Toc471480949"/>
      <w:bookmarkStart w:id="130" w:name="_Toc480732815"/>
      <w:bookmarkStart w:id="131" w:name="_Toc4755285"/>
      <w:bookmarkStart w:id="132" w:name="_Toc471480951"/>
      <w:r>
        <w:rPr>
          <w:rFonts w:hint="eastAsia" w:ascii="宋体" w:hAnsi="宋体"/>
          <w:szCs w:val="21"/>
        </w:rPr>
        <w:t>7.1 人体静电释放仪安装时采用紧固件型式，不能采取焊接方式。</w:t>
      </w:r>
    </w:p>
    <w:p>
      <w:pPr>
        <w:spacing w:line="360" w:lineRule="auto"/>
        <w:outlineLvl w:val="9"/>
        <w:rPr>
          <w:rFonts w:ascii="宋体" w:hAnsi="宋体"/>
          <w:szCs w:val="21"/>
        </w:rPr>
      </w:pPr>
      <w:r>
        <w:rPr>
          <w:rFonts w:hint="eastAsia" w:ascii="宋体" w:hAnsi="宋体"/>
          <w:szCs w:val="21"/>
        </w:rPr>
        <w:t>7</w:t>
      </w:r>
      <w:r>
        <w:rPr>
          <w:rFonts w:ascii="宋体" w:hAnsi="宋体"/>
          <w:szCs w:val="21"/>
        </w:rPr>
        <w:t>.2</w:t>
      </w:r>
      <w:r>
        <w:rPr>
          <w:rFonts w:hint="eastAsia" w:ascii="宋体" w:hAnsi="宋体"/>
          <w:szCs w:val="21"/>
        </w:rPr>
        <w:t>人体静电释放仪现场安装由采购方负责，供货商按照业主要求负责免费提供现场安装的技术指导工作。</w:t>
      </w:r>
    </w:p>
    <w:p>
      <w:pPr>
        <w:spacing w:line="360" w:lineRule="auto"/>
        <w:outlineLvl w:val="9"/>
        <w:rPr>
          <w:rFonts w:ascii="宋体" w:hAnsi="宋体"/>
          <w:szCs w:val="21"/>
        </w:rPr>
      </w:pPr>
      <w:r>
        <w:rPr>
          <w:rFonts w:hint="eastAsia" w:ascii="宋体" w:hAnsi="宋体"/>
          <w:szCs w:val="21"/>
        </w:rPr>
        <w:t>7.3根据工作现场实际情况合理安装地线连接，如果地线离静电接地网较远所需材料由采购方负责承担。</w:t>
      </w:r>
    </w:p>
    <w:p>
      <w:pPr>
        <w:spacing w:line="360" w:lineRule="auto"/>
        <w:outlineLvl w:val="9"/>
        <w:rPr>
          <w:rFonts w:ascii="宋体" w:hAnsi="宋体"/>
          <w:szCs w:val="21"/>
        </w:rPr>
      </w:pPr>
      <w:r>
        <w:rPr>
          <w:rFonts w:hint="eastAsia" w:ascii="宋体" w:hAnsi="宋体"/>
          <w:szCs w:val="21"/>
        </w:rPr>
        <w:t>7.4 现场安装应按照采购方要求采取落地式安装、管卡式安装、板卡式安装。</w:t>
      </w:r>
    </w:p>
    <w:p>
      <w:pPr>
        <w:spacing w:line="360" w:lineRule="auto"/>
        <w:outlineLvl w:val="9"/>
        <w:rPr>
          <w:rFonts w:ascii="宋体" w:hAnsi="宋体"/>
          <w:szCs w:val="21"/>
        </w:rPr>
      </w:pPr>
      <w:r>
        <w:rPr>
          <w:rFonts w:hint="eastAsia" w:ascii="宋体" w:hAnsi="宋体"/>
          <w:szCs w:val="21"/>
        </w:rPr>
        <w:t>7.5 安装通用备件：膨胀螺栓3根、目视标牌固定在支撑体上及配件一套。</w:t>
      </w:r>
    </w:p>
    <w:p>
      <w:pPr>
        <w:spacing w:line="360" w:lineRule="auto"/>
        <w:outlineLvl w:val="9"/>
        <w:rPr>
          <w:rFonts w:ascii="宋体" w:hAnsi="宋体"/>
          <w:szCs w:val="21"/>
        </w:rPr>
      </w:pPr>
      <w:r>
        <w:rPr>
          <w:rFonts w:hint="eastAsia" w:ascii="宋体" w:hAnsi="宋体"/>
          <w:szCs w:val="21"/>
        </w:rPr>
        <w:t>7</w:t>
      </w:r>
      <w:r>
        <w:rPr>
          <w:rFonts w:ascii="宋体" w:hAnsi="宋体"/>
          <w:szCs w:val="21"/>
        </w:rPr>
        <w:t>.6</w:t>
      </w:r>
      <w:r>
        <w:rPr>
          <w:rFonts w:hint="eastAsia" w:ascii="宋体" w:hAnsi="宋体"/>
          <w:szCs w:val="21"/>
        </w:rPr>
        <w:t xml:space="preserve"> 从支撑体接地端子至接地主干线或接地导体（如罐体、金属框架等接地导体）之间的接地线采用不小于8mm</w:t>
      </w:r>
      <w:r>
        <w:rPr>
          <w:rFonts w:hint="eastAsia" w:ascii="宋体" w:hAnsi="宋体"/>
          <w:szCs w:val="21"/>
          <w:vertAlign w:val="superscript"/>
        </w:rPr>
        <w:t>2</w:t>
      </w:r>
      <w:r>
        <w:rPr>
          <w:rFonts w:hint="eastAsia" w:ascii="宋体" w:hAnsi="宋体"/>
          <w:szCs w:val="21"/>
        </w:rPr>
        <w:t>双色多芯软铜线，两端焊接“铜鼻子”，采用不小于M10的不锈钢螺栓加不锈钢防松垫片连接。</w:t>
      </w:r>
    </w:p>
    <w:p>
      <w:pPr>
        <w:snapToGrid w:val="0"/>
        <w:spacing w:line="360" w:lineRule="auto"/>
        <w:outlineLvl w:val="9"/>
        <w:rPr>
          <w:rFonts w:ascii="宋体" w:hAnsi="宋体" w:cs="宋体"/>
        </w:rPr>
      </w:pPr>
      <w:bookmarkStart w:id="133" w:name="_Toc29804738"/>
      <w:r>
        <w:rPr>
          <w:rFonts w:hint="eastAsia" w:ascii="宋体" w:hAnsi="宋体" w:cs="宋体"/>
        </w:rPr>
        <w:t>7.7产品安装</w:t>
      </w:r>
      <w:bookmarkEnd w:id="133"/>
    </w:p>
    <w:p>
      <w:pPr>
        <w:snapToGrid w:val="0"/>
        <w:spacing w:line="360" w:lineRule="auto"/>
        <w:ind w:left="360"/>
        <w:outlineLvl w:val="9"/>
        <w:rPr>
          <w:rFonts w:ascii="宋体" w:hAnsi="宋体" w:cs="宋体"/>
        </w:rPr>
      </w:pPr>
      <w:bookmarkStart w:id="134" w:name="_Toc18996"/>
      <w:r>
        <w:rPr>
          <w:rFonts w:hint="eastAsia" w:ascii="宋体" w:hAnsi="宋体" w:cs="宋体"/>
        </w:rPr>
        <w:t>接地线与接地桩用M8螺栓连接，两个铜鼻子分开连接(如下图)</w:t>
      </w:r>
    </w:p>
    <w:p>
      <w:pPr>
        <w:pStyle w:val="2"/>
        <w:numPr>
          <w:ilvl w:val="0"/>
          <w:numId w:val="1"/>
        </w:numPr>
        <w:outlineLvl w:val="9"/>
        <w:rPr>
          <w:color w:val="auto"/>
        </w:rPr>
      </w:pPr>
      <w:r>
        <w:rPr>
          <w:color w:val="auto"/>
        </w:rPr>
        <w:drawing>
          <wp:anchor distT="0" distB="0" distL="114300" distR="114300" simplePos="0" relativeHeight="251658240" behindDoc="0" locked="0" layoutInCell="1" allowOverlap="1">
            <wp:simplePos x="0" y="0"/>
            <wp:positionH relativeFrom="column">
              <wp:posOffset>-323850</wp:posOffset>
            </wp:positionH>
            <wp:positionV relativeFrom="paragraph">
              <wp:posOffset>26035</wp:posOffset>
            </wp:positionV>
            <wp:extent cx="6172200" cy="1590675"/>
            <wp:effectExtent l="0" t="0" r="0" b="9525"/>
            <wp:wrapNone/>
            <wp:docPr id="8" name="图片 4" descr="2"/>
            <wp:cNvGraphicFramePr/>
            <a:graphic xmlns:a="http://schemas.openxmlformats.org/drawingml/2006/main">
              <a:graphicData uri="http://schemas.openxmlformats.org/drawingml/2006/picture">
                <pic:pic xmlns:pic="http://schemas.openxmlformats.org/drawingml/2006/picture">
                  <pic:nvPicPr>
                    <pic:cNvPr id="8" name="图片 4" descr="2"/>
                    <pic:cNvPicPr/>
                  </pic:nvPicPr>
                  <pic:blipFill>
                    <a:blip r:embed="rId4"/>
                    <a:stretch>
                      <a:fillRect/>
                    </a:stretch>
                  </pic:blipFill>
                  <pic:spPr>
                    <a:xfrm>
                      <a:off x="0" y="0"/>
                      <a:ext cx="6172200" cy="1590675"/>
                    </a:xfrm>
                    <a:prstGeom prst="rect">
                      <a:avLst/>
                    </a:prstGeom>
                    <a:noFill/>
                    <a:ln>
                      <a:noFill/>
                    </a:ln>
                  </pic:spPr>
                </pic:pic>
              </a:graphicData>
            </a:graphic>
          </wp:anchor>
        </w:drawing>
      </w:r>
    </w:p>
    <w:bookmarkEnd w:id="134"/>
    <w:p>
      <w:pPr>
        <w:pStyle w:val="2"/>
        <w:outlineLvl w:val="9"/>
      </w:pPr>
    </w:p>
    <w:bookmarkEnd w:id="124"/>
    <w:bookmarkEnd w:id="125"/>
    <w:p>
      <w:pPr>
        <w:pStyle w:val="8"/>
        <w:widowControl/>
        <w:spacing w:line="500" w:lineRule="exact"/>
        <w:jc w:val="both"/>
        <w:outlineLvl w:val="9"/>
        <w:rPr>
          <w:rFonts w:hAnsi="黑体"/>
          <w:b/>
          <w:sz w:val="21"/>
          <w:szCs w:val="21"/>
        </w:rPr>
      </w:pPr>
      <w:r>
        <w:rPr>
          <w:rFonts w:hAnsi="黑体"/>
          <w:bCs/>
          <w:sz w:val="21"/>
          <w:szCs w:val="21"/>
        </w:rPr>
        <w:t>8   检验和测试</w:t>
      </w:r>
      <w:bookmarkEnd w:id="126"/>
      <w:bookmarkEnd w:id="127"/>
    </w:p>
    <w:p>
      <w:pPr>
        <w:spacing w:before="0" w:after="0" w:line="500" w:lineRule="exact"/>
        <w:outlineLvl w:val="9"/>
        <w:rPr>
          <w:rFonts w:ascii="宋体" w:hAnsi="宋体" w:eastAsia="宋体"/>
          <w:b w:val="0"/>
          <w:bCs w:val="0"/>
          <w:kern w:val="0"/>
          <w:sz w:val="21"/>
          <w:szCs w:val="21"/>
        </w:rPr>
      </w:pPr>
      <w:bookmarkStart w:id="135" w:name="_Toc2766907"/>
      <w:bookmarkStart w:id="136" w:name="_Toc2844033"/>
      <w:bookmarkStart w:id="137" w:name="_Toc2845623"/>
      <w:bookmarkStart w:id="138" w:name="_Toc3286417"/>
      <w:bookmarkStart w:id="139" w:name="_Toc3286666"/>
      <w:r>
        <w:rPr>
          <w:rFonts w:hint="eastAsia" w:ascii="黑体" w:hAnsi="黑体"/>
          <w:b w:val="0"/>
          <w:bCs w:val="0"/>
          <w:kern w:val="0"/>
          <w:sz w:val="21"/>
          <w:szCs w:val="21"/>
        </w:rPr>
        <w:t>8.1</w:t>
      </w:r>
      <w:r>
        <w:rPr>
          <w:rFonts w:ascii="黑体" w:hAnsi="黑体"/>
          <w:b w:val="0"/>
          <w:bCs w:val="0"/>
          <w:kern w:val="0"/>
          <w:sz w:val="21"/>
          <w:szCs w:val="21"/>
        </w:rPr>
        <w:t xml:space="preserve"> </w:t>
      </w:r>
      <w:bookmarkEnd w:id="135"/>
      <w:bookmarkEnd w:id="136"/>
      <w:bookmarkEnd w:id="137"/>
      <w:r>
        <w:rPr>
          <w:rFonts w:hint="eastAsia" w:ascii="宋体" w:hAnsi="宋体" w:eastAsia="宋体"/>
          <w:b w:val="0"/>
          <w:bCs w:val="0"/>
          <w:kern w:val="0"/>
          <w:sz w:val="21"/>
          <w:szCs w:val="21"/>
        </w:rPr>
        <w:t>一般规定</w:t>
      </w:r>
      <w:bookmarkEnd w:id="138"/>
      <w:bookmarkEnd w:id="139"/>
    </w:p>
    <w:p>
      <w:pPr>
        <w:spacing w:line="500" w:lineRule="exact"/>
        <w:outlineLvl w:val="9"/>
      </w:pPr>
      <w:bookmarkStart w:id="140" w:name="_Hlk514480848"/>
      <w:r>
        <w:rPr>
          <w:rFonts w:hint="eastAsia" w:ascii="黑体" w:hAnsi="黑体" w:eastAsia="黑体"/>
        </w:rPr>
        <w:t>8.1.1</w:t>
      </w:r>
      <w:r>
        <w:rPr>
          <w:rFonts w:hint="eastAsia"/>
        </w:rPr>
        <w:t>业主有权进行驻厂监造或在任何时间到制造商工厂对</w:t>
      </w:r>
      <w:r>
        <w:rPr>
          <w:rFonts w:hint="eastAsia" w:hAnsi="宋体"/>
          <w:szCs w:val="21"/>
        </w:rPr>
        <w:t>其它人体静电释放仪</w:t>
      </w:r>
      <w:r>
        <w:rPr>
          <w:rFonts w:hint="eastAsia"/>
        </w:rPr>
        <w:t>所有零部件及组合件进行检查，以保证材料和制造工艺符合相应的标准和图纸要求</w:t>
      </w:r>
      <w:bookmarkEnd w:id="140"/>
      <w:r>
        <w:rPr>
          <w:rFonts w:hint="eastAsia"/>
        </w:rPr>
        <w:t>。</w:t>
      </w:r>
    </w:p>
    <w:p>
      <w:pPr>
        <w:spacing w:beforeLines="100" w:afterLines="100" w:line="240" w:lineRule="auto"/>
        <w:outlineLvl w:val="9"/>
        <w:rPr>
          <w:rFonts w:ascii="黑体" w:eastAsia="黑体"/>
          <w:sz w:val="21"/>
          <w:szCs w:val="21"/>
        </w:rPr>
      </w:pPr>
      <w:r>
        <w:rPr>
          <w:rFonts w:hint="eastAsia" w:ascii="黑体" w:eastAsia="黑体"/>
          <w:sz w:val="21"/>
          <w:szCs w:val="21"/>
        </w:rPr>
        <w:t>8 质保条款</w:t>
      </w:r>
      <w:bookmarkEnd w:id="128"/>
    </w:p>
    <w:p>
      <w:pPr>
        <w:spacing w:line="360" w:lineRule="auto"/>
        <w:outlineLvl w:val="9"/>
        <w:rPr>
          <w:rFonts w:ascii="宋体" w:hAnsi="宋体"/>
          <w:szCs w:val="21"/>
        </w:rPr>
      </w:pPr>
      <w:r>
        <w:rPr>
          <w:rFonts w:hint="eastAsia" w:ascii="宋体" w:hAnsi="宋体"/>
          <w:szCs w:val="21"/>
        </w:rPr>
        <w:t>8.1质量验收标准为国家或技术规格所述标准、验收规范以及双方签订的技术协议及合同。</w:t>
      </w:r>
    </w:p>
    <w:p>
      <w:pPr>
        <w:spacing w:line="360" w:lineRule="auto"/>
        <w:outlineLvl w:val="9"/>
        <w:rPr>
          <w:rFonts w:ascii="宋体" w:hAnsi="宋体"/>
          <w:szCs w:val="21"/>
        </w:rPr>
      </w:pPr>
      <w:r>
        <w:rPr>
          <w:rFonts w:hint="eastAsia" w:ascii="宋体" w:hAnsi="宋体"/>
          <w:szCs w:val="21"/>
        </w:rPr>
        <w:t>8.2供货商保证交付的所有产品是严格按照产品供货清单所列供货，各设备和部件的规格和数量应符合装箱单，运输过程中应无损坏。人体静电释放仪到达现场后，供货商派专人到现场与采购方共同验收。</w:t>
      </w:r>
    </w:p>
    <w:p>
      <w:pPr>
        <w:spacing w:line="360" w:lineRule="auto"/>
        <w:outlineLvl w:val="9"/>
        <w:rPr>
          <w:rFonts w:ascii="宋体" w:hAnsi="宋体"/>
          <w:color w:val="auto"/>
          <w:szCs w:val="21"/>
        </w:rPr>
      </w:pPr>
      <w:r>
        <w:rPr>
          <w:rFonts w:hint="eastAsia" w:ascii="宋体" w:hAnsi="宋体"/>
          <w:color w:val="auto"/>
          <w:szCs w:val="21"/>
        </w:rPr>
        <w:t>8.3除非合同另有规定，合同设备的质保期为</w:t>
      </w:r>
      <w:r>
        <w:rPr>
          <w:rFonts w:hint="eastAsia" w:ascii="宋体" w:hAnsi="宋体"/>
          <w:szCs w:val="21"/>
        </w:rPr>
        <w:t>设备验收之日</w:t>
      </w:r>
      <w:r>
        <w:rPr>
          <w:rFonts w:hint="eastAsia" w:ascii="宋体" w:hAnsi="宋体"/>
          <w:szCs w:val="21"/>
          <w:lang w:eastAsia="zh-CN"/>
        </w:rPr>
        <w:t>起</w:t>
      </w:r>
      <w:r>
        <w:rPr>
          <w:rFonts w:hint="eastAsia" w:ascii="宋体" w:hAnsi="宋体"/>
          <w:color w:val="auto"/>
          <w:szCs w:val="21"/>
        </w:rPr>
        <w:t>12个月。</w:t>
      </w:r>
    </w:p>
    <w:p>
      <w:pPr>
        <w:spacing w:line="360" w:lineRule="auto"/>
        <w:outlineLvl w:val="9"/>
        <w:rPr>
          <w:rFonts w:ascii="宋体" w:hAnsi="宋体"/>
          <w:szCs w:val="21"/>
        </w:rPr>
      </w:pPr>
      <w:r>
        <w:rPr>
          <w:rFonts w:hint="eastAsia" w:ascii="宋体" w:hAnsi="宋体"/>
          <w:szCs w:val="21"/>
        </w:rPr>
        <w:t>8.4质保期（壹年）内供货商对所交付产品在非人为或使用不当情况下而损坏的、达不到使用条件要求的，供货商应无偿提供检测和维护及更换，同时相应延长所更换产品的质量保证期；如因采购方原因造成的问题，供货商也应及时修复和更换，但费用由应采购方承担。在质保期满后，供货商应继续积极提供技术支持，备品备件的供应以最优惠价格提供给采购方。</w:t>
      </w:r>
    </w:p>
    <w:p>
      <w:pPr>
        <w:spacing w:line="360" w:lineRule="auto"/>
        <w:outlineLvl w:val="9"/>
        <w:rPr>
          <w:rFonts w:ascii="宋体" w:hAnsi="宋体"/>
          <w:szCs w:val="21"/>
        </w:rPr>
      </w:pPr>
      <w:r>
        <w:rPr>
          <w:rFonts w:hint="eastAsia" w:ascii="宋体" w:hAnsi="宋体"/>
          <w:szCs w:val="21"/>
        </w:rPr>
        <w:t>8.5在产品使用期间，供货商接到采购方电话或书面提出的问题后，保证专业工程师1</w:t>
      </w:r>
      <w:r>
        <w:rPr>
          <w:rFonts w:hint="eastAsia" w:ascii="宋体" w:hAnsi="宋体"/>
          <w:szCs w:val="21"/>
          <w:lang w:val="en-US" w:eastAsia="zh-CN"/>
        </w:rPr>
        <w:t>2</w:t>
      </w:r>
      <w:r>
        <w:rPr>
          <w:rFonts w:hint="eastAsia" w:ascii="宋体" w:hAnsi="宋体"/>
          <w:szCs w:val="21"/>
        </w:rPr>
        <w:t>小时内给予答复；24 小时内派专人到现场并解决问题。</w:t>
      </w:r>
    </w:p>
    <w:p>
      <w:pPr>
        <w:spacing w:line="360" w:lineRule="auto"/>
        <w:outlineLvl w:val="9"/>
        <w:rPr>
          <w:rFonts w:ascii="宋体" w:hAnsi="宋体"/>
          <w:szCs w:val="21"/>
        </w:rPr>
      </w:pPr>
      <w:r>
        <w:rPr>
          <w:rFonts w:hint="eastAsia" w:ascii="宋体" w:hAnsi="宋体"/>
          <w:szCs w:val="21"/>
        </w:rPr>
        <w:t>8.6执行中，如遇其它未涉及到的相关问题，采购方和供货商双方应共同友好协商解决。</w:t>
      </w:r>
    </w:p>
    <w:p>
      <w:pPr>
        <w:spacing w:beforeLines="100" w:afterLines="100" w:line="240" w:lineRule="auto"/>
        <w:outlineLvl w:val="9"/>
        <w:rPr>
          <w:rFonts w:ascii="黑体" w:eastAsia="黑体"/>
          <w:sz w:val="21"/>
          <w:szCs w:val="21"/>
        </w:rPr>
      </w:pPr>
      <w:r>
        <w:rPr>
          <w:rFonts w:hint="eastAsia" w:ascii="黑体" w:eastAsia="黑体"/>
          <w:sz w:val="21"/>
          <w:szCs w:val="21"/>
        </w:rPr>
        <w:t>9</w:t>
      </w:r>
      <w:bookmarkEnd w:id="129"/>
      <w:bookmarkEnd w:id="130"/>
      <w:bookmarkStart w:id="141" w:name="_Toc410736471"/>
      <w:bookmarkStart w:id="142" w:name="_Toc261850297"/>
      <w:bookmarkStart w:id="143" w:name="_Toc243273801"/>
      <w:bookmarkStart w:id="144" w:name="_Toc408922156"/>
      <w:bookmarkStart w:id="145" w:name="_Toc303674835"/>
      <w:bookmarkStart w:id="146" w:name="_Toc2624986"/>
      <w:bookmarkStart w:id="147" w:name="_Toc262735307"/>
      <w:bookmarkStart w:id="148" w:name="_Toc332390704"/>
      <w:r>
        <w:rPr>
          <w:rFonts w:hint="eastAsia" w:ascii="黑体" w:eastAsia="黑体"/>
          <w:sz w:val="21"/>
          <w:szCs w:val="21"/>
        </w:rPr>
        <w:t>铭牌、标志</w:t>
      </w:r>
      <w:bookmarkEnd w:id="131"/>
      <w:bookmarkEnd w:id="141"/>
      <w:bookmarkEnd w:id="142"/>
      <w:bookmarkEnd w:id="143"/>
      <w:bookmarkEnd w:id="144"/>
      <w:bookmarkEnd w:id="145"/>
      <w:bookmarkEnd w:id="146"/>
      <w:bookmarkEnd w:id="147"/>
      <w:bookmarkEnd w:id="148"/>
    </w:p>
    <w:p>
      <w:pPr>
        <w:spacing w:line="360" w:lineRule="auto"/>
        <w:outlineLvl w:val="9"/>
        <w:rPr>
          <w:rFonts w:ascii="宋体" w:hAnsi="宋体"/>
          <w:szCs w:val="21"/>
        </w:rPr>
      </w:pPr>
      <w:bookmarkStart w:id="149" w:name="_Toc408922157"/>
      <w:bookmarkStart w:id="150" w:name="_Toc261850298"/>
      <w:bookmarkStart w:id="151" w:name="_Toc262735308"/>
      <w:bookmarkStart w:id="152" w:name="_Toc303674836"/>
      <w:bookmarkStart w:id="153" w:name="_Toc410736472"/>
      <w:bookmarkStart w:id="154" w:name="_Toc332390705"/>
      <w:bookmarkStart w:id="155" w:name="_Toc4755286"/>
      <w:bookmarkStart w:id="156" w:name="_Toc2624987"/>
      <w:bookmarkStart w:id="157" w:name="_Toc243273802"/>
      <w:r>
        <w:rPr>
          <w:rFonts w:hint="eastAsia" w:ascii="宋体" w:hAnsi="宋体"/>
          <w:szCs w:val="21"/>
        </w:rPr>
        <w:t>制造商应在设备明显位置装设耐腐蚀金属材料制作的铭牌，铭牌至少应包括但不限于以下内容：</w:t>
      </w:r>
    </w:p>
    <w:p>
      <w:pPr>
        <w:spacing w:line="360" w:lineRule="auto"/>
        <w:outlineLvl w:val="9"/>
        <w:rPr>
          <w:rFonts w:ascii="宋体" w:hAnsi="宋体"/>
          <w:szCs w:val="21"/>
        </w:rPr>
      </w:pPr>
      <w:r>
        <w:rPr>
          <w:rFonts w:hint="eastAsia" w:ascii="宋体" w:hAnsi="宋体"/>
          <w:szCs w:val="21"/>
        </w:rPr>
        <w:t>a）制造厂名称；</w:t>
      </w:r>
    </w:p>
    <w:p>
      <w:pPr>
        <w:spacing w:line="360" w:lineRule="auto"/>
        <w:outlineLvl w:val="9"/>
        <w:rPr>
          <w:rFonts w:ascii="宋体" w:hAnsi="宋体"/>
          <w:szCs w:val="21"/>
        </w:rPr>
      </w:pPr>
      <w:r>
        <w:rPr>
          <w:rFonts w:hint="eastAsia" w:ascii="宋体" w:hAnsi="宋体"/>
          <w:szCs w:val="21"/>
        </w:rPr>
        <w:t>b）装置的名称、型号；</w:t>
      </w:r>
    </w:p>
    <w:p>
      <w:pPr>
        <w:spacing w:line="360" w:lineRule="auto"/>
        <w:outlineLvl w:val="9"/>
        <w:rPr>
          <w:rFonts w:ascii="宋体" w:hAnsi="宋体"/>
          <w:szCs w:val="21"/>
        </w:rPr>
      </w:pPr>
      <w:r>
        <w:rPr>
          <w:rFonts w:hint="eastAsia" w:ascii="宋体" w:hAnsi="宋体"/>
          <w:szCs w:val="21"/>
        </w:rPr>
        <w:t>c）注册商标；</w:t>
      </w:r>
    </w:p>
    <w:p>
      <w:pPr>
        <w:spacing w:line="360" w:lineRule="auto"/>
        <w:outlineLvl w:val="9"/>
        <w:rPr>
          <w:rFonts w:ascii="宋体" w:hAnsi="宋体"/>
          <w:szCs w:val="21"/>
        </w:rPr>
      </w:pPr>
      <w:r>
        <w:rPr>
          <w:rFonts w:hint="eastAsia" w:ascii="宋体" w:hAnsi="宋体"/>
          <w:szCs w:val="21"/>
        </w:rPr>
        <w:t>d）装置的性能参数；</w:t>
      </w:r>
    </w:p>
    <w:p>
      <w:pPr>
        <w:spacing w:line="360" w:lineRule="auto"/>
        <w:outlineLvl w:val="9"/>
        <w:rPr>
          <w:rFonts w:ascii="宋体" w:hAnsi="宋体"/>
          <w:szCs w:val="21"/>
        </w:rPr>
      </w:pPr>
      <w:r>
        <w:rPr>
          <w:rFonts w:hint="eastAsia" w:ascii="宋体" w:hAnsi="宋体"/>
          <w:szCs w:val="21"/>
        </w:rPr>
        <w:t>e）出厂日期及编号等。</w:t>
      </w:r>
    </w:p>
    <w:p>
      <w:pPr>
        <w:spacing w:line="360" w:lineRule="auto"/>
        <w:outlineLvl w:val="9"/>
        <w:rPr>
          <w:rFonts w:ascii="宋体" w:hAnsi="宋体"/>
          <w:szCs w:val="21"/>
        </w:rPr>
      </w:pPr>
      <w:r>
        <w:rPr>
          <w:rFonts w:hint="eastAsia" w:ascii="宋体" w:hAnsi="宋体"/>
          <w:szCs w:val="21"/>
        </w:rPr>
        <w:t>f）铭牌尺寸可按照制造商标准确定，铭牌上的文字应在现场条件下长期保持清晰可读。</w:t>
      </w:r>
    </w:p>
    <w:p>
      <w:pPr>
        <w:spacing w:line="360" w:lineRule="auto"/>
        <w:outlineLvl w:val="9"/>
        <w:rPr>
          <w:rFonts w:ascii="宋体" w:hAnsi="宋体"/>
          <w:szCs w:val="21"/>
        </w:rPr>
      </w:pPr>
      <w:r>
        <w:rPr>
          <w:rFonts w:hint="eastAsia" w:ascii="宋体" w:hAnsi="宋体"/>
          <w:szCs w:val="21"/>
        </w:rPr>
        <w:t>g）铭牌上文字为中文。</w:t>
      </w:r>
    </w:p>
    <w:p>
      <w:pPr>
        <w:spacing w:beforeLines="100" w:afterLines="100" w:line="240" w:lineRule="auto"/>
        <w:outlineLvl w:val="9"/>
        <w:rPr>
          <w:rFonts w:ascii="黑体" w:eastAsia="黑体"/>
          <w:sz w:val="21"/>
          <w:szCs w:val="21"/>
        </w:rPr>
      </w:pPr>
      <w:r>
        <w:rPr>
          <w:rFonts w:hint="eastAsia" w:ascii="黑体" w:eastAsia="黑体"/>
          <w:sz w:val="21"/>
          <w:szCs w:val="21"/>
        </w:rPr>
        <w:t>10 包装和运输</w:t>
      </w:r>
      <w:bookmarkEnd w:id="149"/>
      <w:bookmarkEnd w:id="150"/>
      <w:bookmarkEnd w:id="151"/>
      <w:bookmarkEnd w:id="152"/>
      <w:bookmarkEnd w:id="153"/>
      <w:bookmarkEnd w:id="154"/>
      <w:bookmarkEnd w:id="155"/>
      <w:bookmarkEnd w:id="156"/>
      <w:bookmarkEnd w:id="157"/>
    </w:p>
    <w:bookmarkEnd w:id="108"/>
    <w:bookmarkEnd w:id="113"/>
    <w:bookmarkEnd w:id="114"/>
    <w:bookmarkEnd w:id="115"/>
    <w:bookmarkEnd w:id="116"/>
    <w:bookmarkEnd w:id="117"/>
    <w:bookmarkEnd w:id="118"/>
    <w:bookmarkEnd w:id="119"/>
    <w:bookmarkEnd w:id="132"/>
    <w:p>
      <w:pPr>
        <w:spacing w:line="360" w:lineRule="auto"/>
        <w:outlineLvl w:val="9"/>
        <w:rPr>
          <w:rFonts w:ascii="宋体" w:hAnsi="宋体"/>
          <w:szCs w:val="21"/>
        </w:rPr>
      </w:pPr>
      <w:bookmarkStart w:id="158" w:name="_Toc408922158"/>
      <w:bookmarkStart w:id="159" w:name="_Toc410736473"/>
      <w:bookmarkStart w:id="160" w:name="_Toc4676624"/>
      <w:bookmarkStart w:id="161" w:name="_Toc29374"/>
      <w:bookmarkStart w:id="162" w:name="_Toc471472548"/>
      <w:bookmarkStart w:id="163" w:name="_Toc471472920"/>
      <w:bookmarkStart w:id="164" w:name="_Toc471471495"/>
      <w:bookmarkStart w:id="165" w:name="_Toc13088"/>
      <w:bookmarkStart w:id="166" w:name="_Toc303674842"/>
      <w:bookmarkStart w:id="167" w:name="_Toc410736478"/>
      <w:bookmarkStart w:id="168" w:name="_Toc262735314"/>
      <w:bookmarkStart w:id="169" w:name="_Toc408922163"/>
      <w:bookmarkStart w:id="170" w:name="_Toc261850300"/>
      <w:bookmarkStart w:id="171" w:name="_Toc471480954"/>
      <w:bookmarkStart w:id="172" w:name="_Toc332390711"/>
      <w:bookmarkStart w:id="173" w:name="_Toc243273808"/>
      <w:bookmarkStart w:id="174" w:name="_Toc4755290"/>
      <w:r>
        <w:rPr>
          <w:rFonts w:hint="eastAsia" w:ascii="宋体" w:hAnsi="宋体"/>
          <w:szCs w:val="21"/>
        </w:rPr>
        <w:t>10.1 产品包装应能够保证运输途中产品不变形、不受损，并由供货商负责运送至采购方指定地点；</w:t>
      </w:r>
    </w:p>
    <w:p>
      <w:pPr>
        <w:spacing w:line="360" w:lineRule="auto"/>
        <w:outlineLvl w:val="9"/>
        <w:rPr>
          <w:rFonts w:ascii="宋体" w:hAnsi="宋体"/>
          <w:szCs w:val="21"/>
        </w:rPr>
      </w:pPr>
      <w:r>
        <w:rPr>
          <w:rFonts w:hint="eastAsia" w:ascii="宋体" w:hAnsi="宋体"/>
          <w:szCs w:val="21"/>
        </w:rPr>
        <w:t>10.2 随产品包装应附有下列附件资料：</w:t>
      </w:r>
    </w:p>
    <w:p>
      <w:pPr>
        <w:spacing w:line="360" w:lineRule="auto"/>
        <w:outlineLvl w:val="9"/>
        <w:rPr>
          <w:rFonts w:ascii="宋体" w:hAnsi="宋体"/>
          <w:szCs w:val="21"/>
        </w:rPr>
      </w:pPr>
      <w:r>
        <w:rPr>
          <w:rFonts w:hint="eastAsia" w:ascii="宋体" w:hAnsi="宋体"/>
          <w:szCs w:val="21"/>
        </w:rPr>
        <w:t>1）装箱产品清单</w:t>
      </w:r>
    </w:p>
    <w:p>
      <w:pPr>
        <w:spacing w:line="360" w:lineRule="auto"/>
        <w:outlineLvl w:val="9"/>
        <w:rPr>
          <w:rFonts w:ascii="宋体" w:hAnsi="宋体"/>
          <w:szCs w:val="21"/>
        </w:rPr>
      </w:pPr>
      <w:r>
        <w:rPr>
          <w:rFonts w:hint="eastAsia" w:ascii="宋体" w:hAnsi="宋体"/>
          <w:szCs w:val="21"/>
        </w:rPr>
        <w:t>2）发货总清单明细</w:t>
      </w:r>
    </w:p>
    <w:p>
      <w:pPr>
        <w:spacing w:line="360" w:lineRule="auto"/>
        <w:outlineLvl w:val="9"/>
        <w:rPr>
          <w:rFonts w:ascii="宋体" w:hAnsi="宋体"/>
          <w:szCs w:val="21"/>
        </w:rPr>
      </w:pPr>
      <w:r>
        <w:rPr>
          <w:rFonts w:hint="eastAsia" w:ascii="宋体" w:hAnsi="宋体"/>
          <w:szCs w:val="21"/>
        </w:rPr>
        <w:t>3）产品检验合格证书</w:t>
      </w:r>
    </w:p>
    <w:p>
      <w:pPr>
        <w:spacing w:line="360" w:lineRule="auto"/>
        <w:outlineLvl w:val="9"/>
        <w:rPr>
          <w:rFonts w:ascii="宋体" w:hAnsi="宋体"/>
          <w:szCs w:val="21"/>
        </w:rPr>
      </w:pPr>
      <w:r>
        <w:rPr>
          <w:rFonts w:hint="eastAsia" w:ascii="宋体" w:hAnsi="宋体"/>
          <w:szCs w:val="21"/>
        </w:rPr>
        <w:t>4）产品检测报告</w:t>
      </w:r>
    </w:p>
    <w:p>
      <w:pPr>
        <w:spacing w:line="360" w:lineRule="auto"/>
        <w:outlineLvl w:val="9"/>
        <w:rPr>
          <w:rFonts w:ascii="宋体" w:hAnsi="宋体"/>
          <w:szCs w:val="21"/>
        </w:rPr>
      </w:pPr>
      <w:r>
        <w:rPr>
          <w:rFonts w:hint="eastAsia" w:ascii="宋体" w:hAnsi="宋体"/>
          <w:szCs w:val="21"/>
        </w:rPr>
        <w:t>5）防爆等级证明（复印件，加盖公章）</w:t>
      </w:r>
    </w:p>
    <w:p>
      <w:pPr>
        <w:spacing w:line="360" w:lineRule="auto"/>
        <w:outlineLvl w:val="9"/>
        <w:rPr>
          <w:rFonts w:ascii="宋体" w:hAnsi="宋体"/>
          <w:szCs w:val="21"/>
        </w:rPr>
      </w:pPr>
      <w:r>
        <w:rPr>
          <w:rFonts w:hint="eastAsia" w:ascii="宋体" w:hAnsi="宋体"/>
          <w:szCs w:val="21"/>
        </w:rPr>
        <w:t>6）产品使用说明</w:t>
      </w:r>
    </w:p>
    <w:p>
      <w:pPr>
        <w:spacing w:line="360" w:lineRule="auto"/>
        <w:outlineLvl w:val="9"/>
        <w:rPr>
          <w:rFonts w:ascii="宋体" w:hAnsi="宋体"/>
          <w:szCs w:val="21"/>
        </w:rPr>
      </w:pPr>
      <w:r>
        <w:rPr>
          <w:rFonts w:hint="eastAsia" w:ascii="宋体" w:hAnsi="宋体"/>
          <w:szCs w:val="21"/>
        </w:rPr>
        <w:t>7）其他文件资料</w:t>
      </w:r>
    </w:p>
    <w:bookmarkEnd w:id="158"/>
    <w:bookmarkEnd w:id="159"/>
    <w:bookmarkEnd w:id="160"/>
    <w:bookmarkEnd w:id="161"/>
    <w:bookmarkEnd w:id="162"/>
    <w:bookmarkEnd w:id="163"/>
    <w:bookmarkEnd w:id="164"/>
    <w:bookmarkEnd w:id="165"/>
    <w:p>
      <w:pPr>
        <w:spacing w:beforeLines="100" w:afterLines="100" w:line="240" w:lineRule="auto"/>
        <w:outlineLvl w:val="9"/>
        <w:rPr>
          <w:rFonts w:ascii="黑体" w:eastAsia="黑体"/>
          <w:sz w:val="21"/>
          <w:szCs w:val="21"/>
        </w:rPr>
      </w:pPr>
      <w:bookmarkStart w:id="175" w:name="_Toc471472549"/>
      <w:bookmarkStart w:id="176" w:name="_Toc471472925"/>
      <w:bookmarkStart w:id="177" w:name="_Toc8996"/>
      <w:bookmarkStart w:id="178" w:name="_Toc18715"/>
      <w:bookmarkStart w:id="179" w:name="_Toc471471500"/>
      <w:bookmarkStart w:id="180" w:name="_Toc4676626"/>
      <w:bookmarkStart w:id="181" w:name="_Toc3286686"/>
      <w:bookmarkStart w:id="182" w:name="_Toc3286437"/>
      <w:r>
        <w:rPr>
          <w:rFonts w:hint="eastAsia" w:ascii="黑体" w:eastAsia="黑体"/>
          <w:sz w:val="21"/>
          <w:szCs w:val="21"/>
        </w:rPr>
        <w:t>11技术服务</w:t>
      </w:r>
    </w:p>
    <w:p>
      <w:pPr>
        <w:snapToGrid w:val="0"/>
        <w:spacing w:line="360" w:lineRule="auto"/>
        <w:outlineLvl w:val="9"/>
        <w:rPr>
          <w:rFonts w:ascii="宋体" w:hAnsi="宋体" w:cs="宋体"/>
        </w:rPr>
      </w:pPr>
      <w:r>
        <w:rPr>
          <w:rFonts w:hint="eastAsia" w:ascii="宋体" w:hAnsi="宋体" w:cs="宋体"/>
        </w:rPr>
        <w:t>1）供货商对于非人为故障</w:t>
      </w:r>
      <w:r>
        <w:rPr>
          <w:rFonts w:hint="eastAsia" w:ascii="宋体" w:hAnsi="宋体" w:cs="宋体"/>
          <w:lang w:val="en-US" w:eastAsia="zh-CN"/>
        </w:rPr>
        <w:t>12</w:t>
      </w:r>
      <w:r>
        <w:rPr>
          <w:rFonts w:hint="eastAsia" w:ascii="宋体" w:hAnsi="宋体" w:cs="宋体"/>
        </w:rPr>
        <w:t>月内免费维修；</w:t>
      </w:r>
    </w:p>
    <w:p>
      <w:pPr>
        <w:snapToGrid w:val="0"/>
        <w:spacing w:line="360" w:lineRule="auto"/>
        <w:outlineLvl w:val="9"/>
        <w:rPr>
          <w:rFonts w:ascii="宋体" w:hAnsi="宋体" w:cs="宋体"/>
        </w:rPr>
      </w:pPr>
      <w:r>
        <w:rPr>
          <w:rFonts w:hint="eastAsia" w:ascii="宋体" w:hAnsi="宋体" w:cs="宋体"/>
        </w:rPr>
        <w:t>2）供货商对于用户提出的使用要求，响应时间在12小时以内，若有必要，当日到现场，2天完成维修。</w:t>
      </w:r>
    </w:p>
    <w:p>
      <w:pPr>
        <w:snapToGrid w:val="0"/>
        <w:spacing w:line="360" w:lineRule="auto"/>
        <w:outlineLvl w:val="9"/>
        <w:rPr>
          <w:rFonts w:ascii="宋体" w:hAnsi="宋体"/>
          <w:szCs w:val="21"/>
        </w:rPr>
      </w:pPr>
      <w:r>
        <w:rPr>
          <w:rFonts w:hint="eastAsia" w:ascii="宋体" w:hAnsi="宋体" w:cs="宋体"/>
        </w:rPr>
        <w:t>3）当人体静电释放仪供货商必须负责改造时，具备条件后改造时间为半天至一天。</w:t>
      </w:r>
    </w:p>
    <w:bookmarkEnd w:id="175"/>
    <w:bookmarkEnd w:id="176"/>
    <w:bookmarkEnd w:id="177"/>
    <w:bookmarkEnd w:id="178"/>
    <w:bookmarkEnd w:id="179"/>
    <w:p>
      <w:pPr>
        <w:spacing w:beforeLines="100" w:afterLines="100" w:line="240" w:lineRule="auto"/>
        <w:outlineLvl w:val="9"/>
        <w:rPr>
          <w:rFonts w:ascii="黑体" w:eastAsia="黑体"/>
          <w:sz w:val="21"/>
          <w:szCs w:val="21"/>
        </w:rPr>
      </w:pPr>
      <w:bookmarkStart w:id="183" w:name="_Toc6419750"/>
      <w:bookmarkStart w:id="184" w:name="_Toc29804739"/>
      <w:bookmarkStart w:id="185" w:name="_Toc9600610"/>
      <w:bookmarkStart w:id="186" w:name="_Toc26884069"/>
      <w:bookmarkStart w:id="187" w:name="_Toc6303925"/>
      <w:bookmarkStart w:id="188" w:name="_Toc5274975"/>
      <w:bookmarkStart w:id="189" w:name="_Toc4606346"/>
      <w:bookmarkStart w:id="190" w:name="_Toc26887597"/>
      <w:bookmarkStart w:id="191" w:name="_Toc27735067"/>
      <w:bookmarkStart w:id="192" w:name="_Toc9496899"/>
      <w:r>
        <w:rPr>
          <w:rFonts w:hint="eastAsia" w:ascii="黑体" w:eastAsia="黑体"/>
          <w:sz w:val="21"/>
          <w:szCs w:val="21"/>
        </w:rPr>
        <w:t>12  验收</w:t>
      </w:r>
      <w:bookmarkEnd w:id="183"/>
      <w:bookmarkEnd w:id="184"/>
      <w:bookmarkEnd w:id="185"/>
      <w:bookmarkEnd w:id="186"/>
      <w:bookmarkEnd w:id="187"/>
      <w:bookmarkEnd w:id="188"/>
      <w:bookmarkEnd w:id="189"/>
      <w:bookmarkEnd w:id="190"/>
      <w:bookmarkEnd w:id="191"/>
      <w:bookmarkEnd w:id="192"/>
    </w:p>
    <w:bookmarkEnd w:id="180"/>
    <w:bookmarkEnd w:id="181"/>
    <w:bookmarkEnd w:id="182"/>
    <w:p>
      <w:pPr>
        <w:spacing w:line="360" w:lineRule="auto"/>
        <w:outlineLvl w:val="9"/>
        <w:rPr>
          <w:rFonts w:ascii="宋体" w:hAnsi="宋体"/>
          <w:szCs w:val="21"/>
        </w:rPr>
      </w:pPr>
      <w:r>
        <w:rPr>
          <w:rFonts w:hint="eastAsia" w:ascii="宋体" w:hAnsi="宋体"/>
          <w:szCs w:val="21"/>
        </w:rPr>
        <w:t>12.1 工厂验收</w:t>
      </w:r>
    </w:p>
    <w:p>
      <w:pPr>
        <w:spacing w:line="360" w:lineRule="auto"/>
        <w:outlineLvl w:val="9"/>
        <w:rPr>
          <w:rFonts w:ascii="宋体" w:hAnsi="宋体"/>
          <w:szCs w:val="21"/>
        </w:rPr>
      </w:pPr>
      <w:r>
        <w:rPr>
          <w:rFonts w:hint="eastAsia" w:ascii="宋体" w:hAnsi="宋体"/>
          <w:szCs w:val="21"/>
        </w:rPr>
        <w:t>交货前提前通知业主，并预留足够的验收时间，由业主决定是否在交货前派人到工厂进行预验收。检查产品加工过程中质量记录、产品性能检验报告、联合调试等有关情况。且由业主签字准予发货。</w:t>
      </w:r>
    </w:p>
    <w:p>
      <w:pPr>
        <w:spacing w:line="360" w:lineRule="auto"/>
        <w:outlineLvl w:val="9"/>
        <w:rPr>
          <w:rFonts w:ascii="宋体" w:hAnsi="宋体"/>
          <w:szCs w:val="21"/>
        </w:rPr>
      </w:pPr>
      <w:bookmarkStart w:id="193" w:name="_Toc6114"/>
      <w:bookmarkStart w:id="194" w:name="_Toc410736483"/>
      <w:bookmarkStart w:id="195" w:name="_Toc6303927"/>
      <w:bookmarkStart w:id="196" w:name="_Toc262735319"/>
      <w:bookmarkStart w:id="197" w:name="_Toc4606348"/>
      <w:bookmarkStart w:id="198" w:name="_Toc243273814"/>
      <w:bookmarkStart w:id="199" w:name="_Toc408922168"/>
      <w:bookmarkStart w:id="200" w:name="_Toc471471505"/>
      <w:bookmarkStart w:id="201" w:name="_Toc262734676"/>
      <w:bookmarkStart w:id="202" w:name="_Toc471472930"/>
      <w:bookmarkStart w:id="203" w:name="_Toc6419752"/>
      <w:bookmarkStart w:id="204" w:name="_Toc332390716"/>
      <w:bookmarkStart w:id="205" w:name="_Toc303674847"/>
      <w:r>
        <w:rPr>
          <w:rFonts w:hint="eastAsia" w:ascii="宋体" w:hAnsi="宋体"/>
          <w:szCs w:val="21"/>
        </w:rPr>
        <w:t>12.2 到货验收</w:t>
      </w:r>
      <w:bookmarkEnd w:id="193"/>
      <w:bookmarkEnd w:id="194"/>
      <w:bookmarkEnd w:id="195"/>
      <w:bookmarkEnd w:id="196"/>
      <w:bookmarkEnd w:id="197"/>
      <w:bookmarkEnd w:id="198"/>
      <w:bookmarkEnd w:id="199"/>
      <w:bookmarkEnd w:id="200"/>
      <w:bookmarkEnd w:id="201"/>
      <w:bookmarkEnd w:id="202"/>
      <w:bookmarkEnd w:id="203"/>
      <w:bookmarkEnd w:id="204"/>
      <w:bookmarkEnd w:id="205"/>
    </w:p>
    <w:p>
      <w:pPr>
        <w:spacing w:line="360" w:lineRule="auto"/>
        <w:outlineLvl w:val="9"/>
        <w:rPr>
          <w:rFonts w:ascii="宋体" w:hAnsi="宋体"/>
          <w:szCs w:val="21"/>
        </w:rPr>
      </w:pPr>
      <w:r>
        <w:rPr>
          <w:rFonts w:hint="eastAsia" w:ascii="宋体" w:hAnsi="宋体"/>
          <w:szCs w:val="21"/>
        </w:rPr>
        <w:t>货物到达业主指定库房（或现场）后，由供货商派人员参加拆箱验收。并由业主指定代表、业主、供货商签字确认。</w:t>
      </w:r>
    </w:p>
    <w:p>
      <w:pPr>
        <w:spacing w:line="360" w:lineRule="auto"/>
        <w:outlineLvl w:val="9"/>
        <w:rPr>
          <w:rFonts w:ascii="宋体" w:hAnsi="宋体"/>
          <w:szCs w:val="21"/>
        </w:rPr>
      </w:pPr>
      <w:bookmarkStart w:id="206" w:name="_Toc262735320"/>
      <w:bookmarkStart w:id="207" w:name="_Toc262734677"/>
      <w:bookmarkStart w:id="208" w:name="_Toc410736484"/>
      <w:bookmarkStart w:id="209" w:name="_Toc4606349"/>
      <w:bookmarkStart w:id="210" w:name="_Toc332390717"/>
      <w:bookmarkStart w:id="211" w:name="_Toc471471506"/>
      <w:bookmarkStart w:id="212" w:name="_Toc6419753"/>
      <w:bookmarkStart w:id="213" w:name="_Toc14157"/>
      <w:bookmarkStart w:id="214" w:name="_Toc303674848"/>
      <w:bookmarkStart w:id="215" w:name="_Toc408922169"/>
      <w:bookmarkStart w:id="216" w:name="_Toc6303928"/>
      <w:bookmarkStart w:id="217" w:name="_Toc471472931"/>
      <w:bookmarkStart w:id="218" w:name="_Toc243273815"/>
      <w:r>
        <w:rPr>
          <w:rFonts w:hint="eastAsia" w:ascii="宋体" w:hAnsi="宋体"/>
          <w:szCs w:val="21"/>
        </w:rPr>
        <w:t>12.3 中间验收</w:t>
      </w:r>
      <w:bookmarkEnd w:id="206"/>
      <w:bookmarkEnd w:id="207"/>
      <w:bookmarkEnd w:id="208"/>
      <w:bookmarkEnd w:id="209"/>
      <w:bookmarkEnd w:id="210"/>
      <w:bookmarkEnd w:id="211"/>
      <w:bookmarkEnd w:id="212"/>
      <w:bookmarkEnd w:id="213"/>
      <w:bookmarkEnd w:id="214"/>
      <w:bookmarkEnd w:id="215"/>
      <w:bookmarkEnd w:id="216"/>
      <w:bookmarkEnd w:id="217"/>
      <w:bookmarkEnd w:id="218"/>
    </w:p>
    <w:p>
      <w:pPr>
        <w:spacing w:line="360" w:lineRule="auto"/>
        <w:outlineLvl w:val="9"/>
        <w:rPr>
          <w:rFonts w:ascii="宋体" w:hAnsi="宋体"/>
          <w:szCs w:val="21"/>
        </w:rPr>
      </w:pPr>
      <w:r>
        <w:rPr>
          <w:rFonts w:hint="eastAsia" w:ascii="宋体" w:hAnsi="宋体"/>
          <w:szCs w:val="21"/>
        </w:rPr>
        <w:t>产品在现场由供货商派现场服务工程师进行最后检查调试并指导监督安装。并由现场监理、施工单位、现场服务工程师签字确认。</w:t>
      </w:r>
    </w:p>
    <w:p>
      <w:pPr>
        <w:spacing w:line="360" w:lineRule="auto"/>
        <w:outlineLvl w:val="9"/>
        <w:rPr>
          <w:rFonts w:ascii="宋体" w:hAnsi="宋体"/>
          <w:szCs w:val="21"/>
        </w:rPr>
      </w:pPr>
      <w:bookmarkStart w:id="219" w:name="_Toc332390718"/>
      <w:bookmarkStart w:id="220" w:name="_Toc262734678"/>
      <w:bookmarkStart w:id="221" w:name="_Toc17427"/>
      <w:bookmarkStart w:id="222" w:name="_Toc303674849"/>
      <w:bookmarkStart w:id="223" w:name="_Toc410736485"/>
      <w:bookmarkStart w:id="224" w:name="_Toc6303929"/>
      <w:bookmarkStart w:id="225" w:name="_Toc408922170"/>
      <w:bookmarkStart w:id="226" w:name="_Toc471472932"/>
      <w:bookmarkStart w:id="227" w:name="_Toc4606350"/>
      <w:bookmarkStart w:id="228" w:name="_Toc471471507"/>
      <w:bookmarkStart w:id="229" w:name="_Toc6419754"/>
      <w:bookmarkStart w:id="230" w:name="_Toc262735321"/>
      <w:bookmarkStart w:id="231" w:name="_Toc243273816"/>
      <w:r>
        <w:rPr>
          <w:rFonts w:hint="eastAsia" w:ascii="宋体" w:hAnsi="宋体"/>
          <w:szCs w:val="21"/>
        </w:rPr>
        <w:t>12.4 最终验收</w:t>
      </w:r>
      <w:bookmarkEnd w:id="219"/>
      <w:bookmarkEnd w:id="220"/>
      <w:bookmarkEnd w:id="221"/>
      <w:bookmarkEnd w:id="222"/>
      <w:bookmarkEnd w:id="223"/>
      <w:bookmarkEnd w:id="224"/>
      <w:bookmarkEnd w:id="225"/>
      <w:bookmarkEnd w:id="226"/>
      <w:bookmarkEnd w:id="227"/>
      <w:bookmarkEnd w:id="228"/>
      <w:bookmarkEnd w:id="229"/>
      <w:bookmarkEnd w:id="230"/>
      <w:bookmarkEnd w:id="231"/>
    </w:p>
    <w:p>
      <w:pPr>
        <w:spacing w:line="360" w:lineRule="auto"/>
        <w:outlineLvl w:val="9"/>
        <w:rPr>
          <w:rFonts w:ascii="宋体" w:hAnsi="宋体"/>
          <w:szCs w:val="21"/>
        </w:rPr>
      </w:pPr>
      <w:r>
        <w:rPr>
          <w:rFonts w:hint="eastAsia" w:ascii="宋体" w:hAnsi="宋体"/>
          <w:szCs w:val="21"/>
        </w:rPr>
        <w:t>设备稳定运行72小时以上，由业主、供货商签字确认</w:t>
      </w:r>
      <w:bookmarkEnd w:id="166"/>
      <w:bookmarkEnd w:id="167"/>
      <w:bookmarkEnd w:id="168"/>
      <w:bookmarkEnd w:id="169"/>
      <w:bookmarkEnd w:id="170"/>
      <w:bookmarkEnd w:id="171"/>
      <w:bookmarkEnd w:id="172"/>
      <w:bookmarkEnd w:id="173"/>
      <w:bookmarkEnd w:id="174"/>
      <w:r>
        <w:rPr>
          <w:rFonts w:hint="eastAsia" w:ascii="宋体" w:hAnsi="宋体"/>
          <w:szCs w:val="21"/>
        </w:rPr>
        <w:t>。</w:t>
      </w:r>
    </w:p>
    <w:p>
      <w:pPr>
        <w:spacing w:beforeLines="100" w:afterLines="100" w:line="240" w:lineRule="auto"/>
        <w:outlineLvl w:val="9"/>
        <w:rPr>
          <w:rFonts w:ascii="黑体" w:hAnsi="黑体" w:eastAsia="黑体" w:cs="黑体"/>
          <w:bCs w:val="0"/>
          <w:sz w:val="21"/>
          <w:szCs w:val="21"/>
        </w:rPr>
      </w:pPr>
      <w:bookmarkStart w:id="232" w:name="_Toc4755291"/>
      <w:bookmarkStart w:id="233" w:name="_Toc410736487"/>
      <w:bookmarkStart w:id="234" w:name="_Toc408922172"/>
      <w:bookmarkStart w:id="235" w:name="_Toc471480955"/>
      <w:r>
        <w:rPr>
          <w:rFonts w:hint="eastAsia" w:ascii="黑体" w:hAnsi="黑体" w:eastAsia="黑体" w:cs="黑体"/>
          <w:bCs w:val="0"/>
          <w:sz w:val="21"/>
          <w:szCs w:val="21"/>
        </w:rPr>
        <w:t>13  担保与保证</w:t>
      </w:r>
      <w:bookmarkEnd w:id="232"/>
      <w:bookmarkEnd w:id="233"/>
      <w:bookmarkEnd w:id="234"/>
      <w:bookmarkEnd w:id="235"/>
    </w:p>
    <w:bookmarkEnd w:id="48"/>
    <w:bookmarkEnd w:id="49"/>
    <w:bookmarkEnd w:id="50"/>
    <w:bookmarkEnd w:id="51"/>
    <w:p>
      <w:pPr>
        <w:spacing w:line="360" w:lineRule="auto"/>
        <w:outlineLvl w:val="9"/>
        <w:rPr>
          <w:rFonts w:ascii="宋体" w:hAnsi="宋体"/>
          <w:szCs w:val="21"/>
        </w:rPr>
      </w:pPr>
      <w:r>
        <w:rPr>
          <w:rFonts w:hint="eastAsia" w:ascii="宋体" w:hAnsi="宋体"/>
          <w:szCs w:val="21"/>
        </w:rPr>
        <w:t>13.1供货商应保证人体经典释放仪的设计满足业主所提供的参数要求，对所提供的设备负全面技术责任。</w:t>
      </w:r>
    </w:p>
    <w:p>
      <w:pPr>
        <w:spacing w:line="360" w:lineRule="auto"/>
        <w:outlineLvl w:val="9"/>
        <w:rPr>
          <w:rFonts w:ascii="宋体" w:hAnsi="宋体"/>
          <w:szCs w:val="21"/>
        </w:rPr>
      </w:pPr>
      <w:r>
        <w:rPr>
          <w:rFonts w:hint="eastAsia" w:ascii="宋体" w:hAnsi="宋体"/>
          <w:szCs w:val="21"/>
        </w:rPr>
        <w:t>13.2为业主提供所选用的设计方案，并回答业主提出的有关问题，提供有关技术资料。</w:t>
      </w:r>
    </w:p>
    <w:p>
      <w:pPr>
        <w:spacing w:line="360" w:lineRule="auto"/>
        <w:outlineLvl w:val="9"/>
        <w:rPr>
          <w:rFonts w:ascii="宋体" w:hAnsi="宋体"/>
          <w:szCs w:val="21"/>
        </w:rPr>
      </w:pPr>
      <w:r>
        <w:rPr>
          <w:rFonts w:hint="eastAsia" w:ascii="宋体" w:hAnsi="宋体"/>
          <w:szCs w:val="21"/>
        </w:rPr>
        <w:t>13.3负责指导人体静电释放仪的安装、调试、投产、现场性能测试、现场服务。按双方确定的验收标准，达到要求后，移交业主管理。</w:t>
      </w:r>
    </w:p>
    <w:p>
      <w:pPr>
        <w:spacing w:line="360" w:lineRule="auto"/>
        <w:outlineLvl w:val="9"/>
        <w:rPr>
          <w:rFonts w:ascii="宋体" w:hAnsi="宋体"/>
          <w:szCs w:val="21"/>
        </w:rPr>
      </w:pPr>
      <w:r>
        <w:rPr>
          <w:rFonts w:hint="eastAsia" w:ascii="宋体" w:hAnsi="宋体"/>
          <w:szCs w:val="21"/>
        </w:rPr>
        <w:t>13.4所有设备和部件的机械保修期为自设备验收之日起12个月，供货商应该保证：在现场验收后12个月内，人体静电释放仪的设计制造和材质选择不存在任何缺陷，如在保证期内发现人体静电释放仪有任何不良性能或出现缺陷，厂商应保证给予必要的变更、维修和更换，上述一切费用连同现场劳务费用和膳宿供应费用均应由供货商承担。</w:t>
      </w:r>
    </w:p>
    <w:p>
      <w:pPr>
        <w:spacing w:line="288" w:lineRule="auto"/>
        <w:outlineLvl w:val="9"/>
        <w:rPr>
          <w:rFonts w:hint="eastAsia" w:ascii="宋体" w:hAnsi="宋体"/>
          <w:color w:val="auto"/>
        </w:rPr>
      </w:pPr>
    </w:p>
    <w:p>
      <w:pPr>
        <w:spacing w:line="288" w:lineRule="auto"/>
        <w:outlineLvl w:val="2"/>
        <w:rPr>
          <w:rFonts w:hint="eastAsia" w:ascii="黑体" w:hAnsi="宋体" w:eastAsia="黑体"/>
          <w:bCs/>
          <w:spacing w:val="-6"/>
          <w:kern w:val="2"/>
          <w:sz w:val="28"/>
          <w:szCs w:val="28"/>
        </w:rPr>
      </w:pPr>
      <w:r>
        <w:rPr>
          <w:rFonts w:hint="eastAsia" w:ascii="宋体" w:hAnsi="宋体"/>
          <w:color w:val="auto"/>
        </w:rPr>
        <w:br w:type="page"/>
      </w:r>
      <w:bookmarkStart w:id="236" w:name="_Toc10416"/>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3</w:t>
      </w:r>
      <w:r>
        <w:rPr>
          <w:rFonts w:hint="eastAsia" w:ascii="黑体" w:hAnsi="宋体" w:eastAsia="黑体"/>
          <w:bCs/>
          <w:kern w:val="2"/>
          <w:sz w:val="28"/>
          <w:szCs w:val="28"/>
        </w:rPr>
        <w:t>：</w:t>
      </w:r>
      <w:r>
        <w:rPr>
          <w:rFonts w:hint="eastAsia" w:ascii="黑体" w:hAnsi="宋体" w:eastAsia="黑体"/>
          <w:bCs/>
          <w:spacing w:val="-6"/>
          <w:kern w:val="2"/>
          <w:sz w:val="28"/>
          <w:szCs w:val="28"/>
        </w:rPr>
        <w:t>《中国石油天然气集团有限公司投标人失信行为管理办法（试行）》</w:t>
      </w:r>
      <w:bookmarkEnd w:id="236"/>
    </w:p>
    <w:p>
      <w:pPr>
        <w:spacing w:line="288" w:lineRule="auto"/>
        <w:outlineLvl w:val="2"/>
        <w:rPr>
          <w:rFonts w:hint="eastAsia"/>
        </w:rPr>
      </w:pPr>
      <w:bookmarkStart w:id="237" w:name="_Toc26869"/>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4</w:t>
      </w:r>
      <w:r>
        <w:rPr>
          <w:rFonts w:hint="eastAsia" w:ascii="黑体" w:hAnsi="宋体" w:eastAsia="黑体"/>
          <w:bCs/>
          <w:kern w:val="2"/>
          <w:sz w:val="28"/>
          <w:szCs w:val="28"/>
        </w:rPr>
        <w:t>：投标保证金递交流程</w:t>
      </w:r>
      <w:bookmarkEnd w:id="38"/>
      <w:bookmarkEnd w:id="237"/>
    </w:p>
    <w:p>
      <w:pPr>
        <w:overflowPunct w:val="0"/>
        <w:spacing w:line="288" w:lineRule="auto"/>
        <w:ind w:firstLine="220" w:firstLineChars="100"/>
        <w:rPr>
          <w:rFonts w:hint="eastAsia" w:hAnsi="宋体"/>
        </w:rPr>
      </w:pPr>
    </w:p>
    <w:p>
      <w:pPr>
        <w:spacing w:line="288" w:lineRule="auto"/>
        <w:jc w:val="center"/>
        <w:rPr>
          <w:rFonts w:hint="eastAsia" w:ascii="宋体" w:hAnsi="宋体" w:cs="宋体"/>
          <w:b/>
          <w:sz w:val="21"/>
          <w:szCs w:val="21"/>
        </w:rPr>
      </w:pPr>
      <w:r>
        <w:rPr>
          <w:rFonts w:hint="eastAsia" w:ascii="宋体" w:hAnsi="宋体" w:cs="宋体"/>
          <w:b/>
          <w:sz w:val="21"/>
          <w:szCs w:val="21"/>
        </w:rPr>
        <w:t>投标保证金递交流程</w:t>
      </w:r>
    </w:p>
    <w:p>
      <w:pPr>
        <w:spacing w:line="288" w:lineRule="auto"/>
        <w:jc w:val="center"/>
        <w:rPr>
          <w:rFonts w:hint="eastAsia" w:ascii="宋体" w:hAnsi="宋体" w:cs="宋体"/>
          <w:b/>
          <w:sz w:val="21"/>
          <w:szCs w:val="21"/>
        </w:rPr>
      </w:pPr>
    </w:p>
    <w:p>
      <w:pPr>
        <w:spacing w:line="288" w:lineRule="auto"/>
        <w:rPr>
          <w:rFonts w:hint="eastAsia" w:ascii="宋体" w:hAnsi="宋体" w:cs="宋体"/>
          <w:color w:val="000000"/>
          <w:sz w:val="21"/>
          <w:szCs w:val="21"/>
        </w:rPr>
      </w:pPr>
      <w:r>
        <w:rPr>
          <w:rFonts w:hint="eastAsia" w:ascii="宋体" w:hAnsi="宋体" w:cs="宋体"/>
          <w:sz w:val="21"/>
          <w:szCs w:val="21"/>
        </w:rPr>
        <w:t>1、</w:t>
      </w:r>
      <w:r>
        <w:rPr>
          <w:rFonts w:hint="eastAsia" w:ascii="宋体" w:hAnsi="宋体" w:cs="宋体"/>
          <w:color w:val="000000"/>
          <w:sz w:val="21"/>
          <w:szCs w:val="21"/>
        </w:rPr>
        <w:t>从投标人基本帐户通过企业网银支付或电汇形式向昆仑银行电子招投标保证金账户汇出；</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开 户 行：昆仑银行股份有限公司大庆分行营业部</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账 户 名：昆仑银行电子招投标保证金</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银行账号：26902100171850000010</w:t>
      </w:r>
    </w:p>
    <w:p>
      <w:pPr>
        <w:spacing w:line="288" w:lineRule="auto"/>
        <w:ind w:firstLine="211" w:firstLineChars="100"/>
        <w:rPr>
          <w:rFonts w:hint="eastAsia" w:ascii="宋体" w:hAnsi="宋体" w:cs="宋体"/>
          <w:b/>
          <w:color w:val="990000"/>
          <w:sz w:val="21"/>
          <w:szCs w:val="21"/>
          <w:lang w:val="zh-CN"/>
        </w:rPr>
      </w:pPr>
      <w:r>
        <w:rPr>
          <w:rFonts w:hint="eastAsia" w:ascii="宋体" w:hAnsi="宋体" w:cs="宋体"/>
          <w:b/>
          <w:color w:val="990000"/>
          <w:sz w:val="21"/>
          <w:szCs w:val="21"/>
          <w:lang w:val="zh-CN"/>
        </w:rPr>
        <w:t>昆仑银行客服电话：4006696569</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2、查询汇款是否到账（到保证金钱包账户）</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（1）、点击进入已报名项目主控台</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15240</wp:posOffset>
                </wp:positionH>
                <wp:positionV relativeFrom="paragraph">
                  <wp:posOffset>9525</wp:posOffset>
                </wp:positionV>
                <wp:extent cx="497840" cy="354965"/>
                <wp:effectExtent l="12700" t="12700" r="22860" b="13335"/>
                <wp:wrapNone/>
                <wp:docPr id="11" name="椭圆 11"/>
                <wp:cNvGraphicFramePr/>
                <a:graphic xmlns:a="http://schemas.openxmlformats.org/drawingml/2006/main">
                  <a:graphicData uri="http://schemas.microsoft.com/office/word/2010/wordprocessingShape">
                    <wps:wsp>
                      <wps:cNvSpPr/>
                      <wps:spPr>
                        <a:xfrm>
                          <a:off x="0" y="0"/>
                          <a:ext cx="49784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2pt;margin-top:0.75pt;height:27.95pt;width:39.2pt;z-index:251665408;v-text-anchor:middle;mso-width-relative:page;mso-height-relative:page;" filled="f" stroked="t" coordsize="21600,21600" o:gfxdata="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3HFck0wAAAAUBAAAP&#10;AAAAAAAAAAEAIAAAACIAAABkcnMvZG93bnJldi54bWxQSwECFAAUAAAACACHTuJAFbx9fOQBAACv&#10;AwAADgAAAAAAAAABACAAAAAiAQAAZHJzL2Uyb0RvYy54bWxQSwUGAAAAAAYABgBZAQAAeAUA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4297680" cy="304800"/>
            <wp:effectExtent l="0" t="0" r="0" b="0"/>
            <wp:docPr id="10" name="图片 1"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说明: C:\Users\abc\AppData\Roaming\Tencent\Users\42054949\QQ\WinTemp\RichOle\HPR}P)YYPQH$3%{KEZ[)3X8.png"/>
                    <pic:cNvPicPr>
                      <a:picLocks noChangeAspect="1"/>
                    </pic:cNvPicPr>
                  </pic:nvPicPr>
                  <pic:blipFill>
                    <a:blip r:embed="rId5"/>
                    <a:srcRect r="27866"/>
                    <a:stretch>
                      <a:fillRect/>
                    </a:stretch>
                  </pic:blipFill>
                  <pic:spPr>
                    <a:xfrm>
                      <a:off x="0" y="0"/>
                      <a:ext cx="4297680" cy="304800"/>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（2）、点击进入递交投标保证金</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4582160</wp:posOffset>
                </wp:positionH>
                <wp:positionV relativeFrom="paragraph">
                  <wp:posOffset>610235</wp:posOffset>
                </wp:positionV>
                <wp:extent cx="695960" cy="354965"/>
                <wp:effectExtent l="12700" t="12700" r="22860" b="13335"/>
                <wp:wrapNone/>
                <wp:docPr id="12" name="椭圆 12"/>
                <wp:cNvGraphicFramePr/>
                <a:graphic xmlns:a="http://schemas.openxmlformats.org/drawingml/2006/main">
                  <a:graphicData uri="http://schemas.microsoft.com/office/word/2010/wordprocessingShape">
                    <wps:wsp>
                      <wps:cNvSpPr/>
                      <wps:spPr>
                        <a:xfrm>
                          <a:off x="0" y="0"/>
                          <a:ext cx="69596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360.8pt;margin-top:48.05pt;height:27.95pt;width:54.8pt;z-index:251666432;v-text-anchor:middle;mso-width-relative:page;mso-height-relative:page;" filled="f" stroked="t" coordsize="21600,21600" o:gfxdata="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Rp83NcAAAAK&#10;AQAADwAAAAAAAAABACAAAAAiAAAAZHJzL2Rvd25yZXYueG1sUEsBAhQAFAAAAAgAh07iQMBupTnk&#10;AQAArwMAAA4AAAAAAAAAAQAgAAAAJgEAAGRycy9lMm9Eb2MueG1sUEsFBgAAAAAGAAYAWQEAAHwF&#10;AA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5325745" cy="1059815"/>
            <wp:effectExtent l="0" t="0" r="8255" b="6985"/>
            <wp:docPr id="9" name="图片 2"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说明: C:\Users\abc\AppData\Roaming\Tencent\Users\42054949\QQ\WinTemp\RichOle\U3QC4~N`3O}B54}T%5NKXY2.png"/>
                    <pic:cNvPicPr>
                      <a:picLocks noChangeAspect="1"/>
                    </pic:cNvPicPr>
                  </pic:nvPicPr>
                  <pic:blipFill>
                    <a:blip r:embed="rId6"/>
                    <a:stretch>
                      <a:fillRect/>
                    </a:stretch>
                  </pic:blipFill>
                  <pic:spPr>
                    <a:xfrm>
                      <a:off x="0" y="0"/>
                      <a:ext cx="5325745" cy="1059815"/>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（3）、查看到账金额（</w:t>
      </w:r>
      <w:r>
        <w:rPr>
          <w:rFonts w:hint="eastAsia" w:ascii="宋体" w:hAnsi="宋体" w:cs="宋体"/>
          <w:color w:val="000000"/>
          <w:sz w:val="21"/>
          <w:szCs w:val="21"/>
        </w:rPr>
        <w:t>保证金钱包账户余额</w:t>
      </w:r>
      <w:r>
        <w:rPr>
          <w:rFonts w:hint="eastAsia" w:ascii="宋体" w:hAnsi="宋体" w:cs="宋体"/>
          <w:sz w:val="21"/>
          <w:szCs w:val="21"/>
        </w:rPr>
        <w:t>）</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7456" behindDoc="0" locked="0" layoutInCell="1" allowOverlap="1">
                <wp:simplePos x="0" y="0"/>
                <wp:positionH relativeFrom="column">
                  <wp:posOffset>167005</wp:posOffset>
                </wp:positionH>
                <wp:positionV relativeFrom="paragraph">
                  <wp:posOffset>240030</wp:posOffset>
                </wp:positionV>
                <wp:extent cx="1057910" cy="354965"/>
                <wp:effectExtent l="12700" t="12700" r="26670" b="13335"/>
                <wp:wrapNone/>
                <wp:docPr id="7" name="椭圆 7"/>
                <wp:cNvGraphicFramePr/>
                <a:graphic xmlns:a="http://schemas.openxmlformats.org/drawingml/2006/main">
                  <a:graphicData uri="http://schemas.microsoft.com/office/word/2010/wordprocessingShape">
                    <wps:wsp>
                      <wps:cNvSpPr/>
                      <wps:spPr>
                        <a:xfrm>
                          <a:off x="0" y="0"/>
                          <a:ext cx="105791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3.15pt;margin-top:18.9pt;height:27.95pt;width:83.3pt;z-index:251667456;v-text-anchor:middle;mso-width-relative:page;mso-height-relative:page;" filled="f" stroked="t" coordsize="21600,21600" o:gfxdata="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jfs0tcAAAAI&#10;AQAADwAAAAAAAAABACAAAAAiAAAAZHJzL2Rvd25yZXYueG1sUEsBAhQAFAAAAAgAh07iQEUu3XTk&#10;AQAArgMAAA4AAAAAAAAAAQAgAAAAJgEAAGRycy9lMm9Eb2MueG1sUEsFBgAAAAAGAAYAWQEAAHwF&#10;AA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5265420" cy="1074420"/>
            <wp:effectExtent l="0" t="0" r="7620" b="7620"/>
            <wp:docPr id="1" name="图片 3"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说明: C:\Users\abc\AppData\Roaming\Tencent\Users\42054949\QQ\WinTemp\RichOle\PI$9P51%_3)$`]FJTC])1M3.png"/>
                    <pic:cNvPicPr>
                      <a:picLocks noChangeAspect="1"/>
                    </pic:cNvPicPr>
                  </pic:nvPicPr>
                  <pic:blipFill>
                    <a:blip r:embed="rId7"/>
                    <a:srcRect t="-2" r="43517" b="41075"/>
                    <a:stretch>
                      <a:fillRect/>
                    </a:stretch>
                  </pic:blipFill>
                  <pic:spPr>
                    <a:xfrm>
                      <a:off x="0" y="0"/>
                      <a:ext cx="5265420" cy="1074420"/>
                    </a:xfrm>
                    <a:prstGeom prst="rect">
                      <a:avLst/>
                    </a:prstGeom>
                    <a:noFill/>
                    <a:ln>
                      <a:noFill/>
                    </a:ln>
                  </pic:spPr>
                </pic:pic>
              </a:graphicData>
            </a:graphic>
          </wp:inline>
        </w:drawing>
      </w:r>
    </w:p>
    <w:p>
      <w:pPr>
        <w:spacing w:line="288" w:lineRule="auto"/>
        <w:rPr>
          <w:rFonts w:hint="eastAsia" w:ascii="宋体" w:hAnsi="宋体" w:cs="宋体"/>
          <w:color w:val="000000"/>
          <w:sz w:val="21"/>
          <w:szCs w:val="21"/>
        </w:rPr>
      </w:pPr>
      <w:r>
        <w:rPr>
          <w:rFonts w:hint="eastAsia" w:ascii="宋体" w:hAnsi="宋体" w:cs="宋体"/>
          <w:color w:val="000000"/>
          <w:sz w:val="21"/>
          <w:szCs w:val="21"/>
        </w:rPr>
        <w:t>3、提交投标保证金</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（1）选择项目</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（2）、支付</w:t>
      </w:r>
    </w:p>
    <w:p>
      <w:pPr>
        <w:spacing w:line="288" w:lineRule="auto"/>
        <w:rPr>
          <w:rFonts w:hint="eastAsia" w:ascii="宋体" w:hAnsi="宋体" w:cs="宋体"/>
          <w:color w:val="000000"/>
          <w:sz w:val="21"/>
          <w:szCs w:val="21"/>
        </w:rPr>
      </w:pPr>
      <w:r>
        <w:rPr>
          <w:rFonts w:hint="eastAsia" w:ascii="宋体" w:hAnsi="宋体" w:cs="宋体"/>
          <w:color w:val="000000"/>
          <w:sz w:val="21"/>
          <w:szCs w:val="21"/>
        </w:rPr>
        <w:t>（3）、刷新，查询购买状态</w:t>
      </w:r>
    </w:p>
    <w:p>
      <w:pPr>
        <w:spacing w:line="288" w:lineRule="auto"/>
        <w:rPr>
          <w:color w:val="000000"/>
        </w:rPr>
      </w:pPr>
      <w:r>
        <w:rPr>
          <w:rFonts w:hint="eastAsia" w:ascii="宋体" w:hAnsi="宋体" w:cs="宋体"/>
          <w:sz w:val="21"/>
          <w:szCs w:val="21"/>
        </w:rPr>
        <mc:AlternateContent>
          <mc:Choice Requires="wps">
            <w:drawing>
              <wp:anchor distT="0" distB="0" distL="114300" distR="114300" simplePos="0" relativeHeight="251670528" behindDoc="0" locked="0" layoutInCell="1" allowOverlap="1">
                <wp:simplePos x="0" y="0"/>
                <wp:positionH relativeFrom="column">
                  <wp:posOffset>4860925</wp:posOffset>
                </wp:positionH>
                <wp:positionV relativeFrom="paragraph">
                  <wp:posOffset>363855</wp:posOffset>
                </wp:positionV>
                <wp:extent cx="347345" cy="354330"/>
                <wp:effectExtent l="12700" t="12700" r="20955" b="13970"/>
                <wp:wrapNone/>
                <wp:docPr id="3" name="椭圆 3"/>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382.75pt;margin-top:28.65pt;height:27.9pt;width:27.35pt;z-index:251670528;v-text-anchor:middle;mso-width-relative:page;mso-height-relative:page;" filled="f" stroked="t" coordsize="21600,21600" o:gfxdata="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wfI1faAAAACgEAAA8AAAAAAAAAAQAgAAAAIgAAAGRycy9kb3ducmV2Lnht&#10;bFBLAQIUABQAAAAIAIdO4kDOkCPV9wEAANwDAAAOAAAAAAAAAAEAIAAAACkBAABkcnMvZTJvRG9j&#10;LnhtbFBLBQYAAAAABgAGAFkBAACSBQAAAAA=&#10;">
                <v:path/>
                <v:fill on="f" focussize="0,0"/>
                <v:stroke weight="2pt" color="#FF0000"/>
                <v:imagedata o:title=""/>
                <o:lock v:ext="edit"/>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71552" behindDoc="0" locked="0" layoutInCell="1" allowOverlap="1">
                <wp:simplePos x="0" y="0"/>
                <wp:positionH relativeFrom="column">
                  <wp:posOffset>2874645</wp:posOffset>
                </wp:positionH>
                <wp:positionV relativeFrom="paragraph">
                  <wp:posOffset>755015</wp:posOffset>
                </wp:positionV>
                <wp:extent cx="347345" cy="354330"/>
                <wp:effectExtent l="12700" t="12700" r="20955" b="13970"/>
                <wp:wrapNone/>
                <wp:docPr id="5" name="椭圆 5"/>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226.35pt;margin-top:59.45pt;height:27.9pt;width:27.35pt;z-index:251671552;v-text-anchor:middle;mso-width-relative:page;mso-height-relative:page;" filled="f" stroked="t" coordsize="21600,21600" o:gfxdata="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WvxxNkAAAALAQAADwAAAAAAAAABACAAAAAiAAAAZHJzL2Rvd25yZXYueG1s&#10;UEsBAhQAFAAAAAgAh07iQJuetKL3AQAA3AMAAA4AAAAAAAAAAQAgAAAAKAEAAGRycy9lMm9Eb2Mu&#10;eG1sUEsFBgAAAAAGAAYAWQEAAJEFAAAAAA==&#10;">
                <v:path/>
                <v:fill on="f" focussize="0,0"/>
                <v:stroke weight="2pt" color="#FF0000"/>
                <v:imagedata o:title=""/>
                <o:lock v:ext="edit"/>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-52070</wp:posOffset>
                </wp:positionH>
                <wp:positionV relativeFrom="paragraph">
                  <wp:posOffset>378460</wp:posOffset>
                </wp:positionV>
                <wp:extent cx="347345" cy="354330"/>
                <wp:effectExtent l="12700" t="12700" r="20955" b="13970"/>
                <wp:wrapNone/>
                <wp:docPr id="2" name="椭圆 2"/>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1</w:t>
                            </w:r>
                          </w:p>
                        </w:txbxContent>
                      </wps:txbx>
                      <wps:bodyPr lIns="0" tIns="0" rIns="0" bIns="0" anchor="ctr" upright="1"/>
                    </wps:wsp>
                  </a:graphicData>
                </a:graphic>
              </wp:anchor>
            </w:drawing>
          </mc:Choice>
          <mc:Fallback>
            <w:pict>
              <v:shape id="_x0000_s1026" o:spid="_x0000_s1026" o:spt="3" type="#_x0000_t3" style="position:absolute;left:0pt;margin-left:-4.1pt;margin-top:29.8pt;height:27.9pt;width:27.35pt;z-index:251668480;v-text-anchor:middle;mso-width-relative:page;mso-height-relative:page;" filled="f" stroked="t" coordsize="21600,21600" o:gfxdata="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0TzL2AAAAAgBAAAPAAAAAAAAAAEAIAAAACIAAABkcnMvZG93bnJldi54bWxQ&#10;SwECFAAUAAAACACHTuJA924iLvcBAADcAwAADgAAAAAAAAABACAAAAAnAQAAZHJzL2Uyb0RvYy54&#10;bWxQSwUGAAAAAAYABgBZAQAAkAUAAAAA&#10;">
                <v:path/>
                <v:fill on="f" focussize="0,0"/>
                <v:stroke weight="2pt" color="#FF0000"/>
                <v:imagedata o:title=""/>
                <o:lock v:ext="edit"/>
                <v:textbox inset="0mm,0mm,0mm,0mm">
                  <w:txbxContent>
                    <w:p>
                      <w:pPr>
                        <w:jc w:val="center"/>
                        <w:rPr>
                          <w:color w:val="FF0000"/>
                        </w:rPr>
                      </w:pPr>
                      <w:r>
                        <w:rPr>
                          <w:rFonts w:hint="eastAsia"/>
                          <w:color w:val="FF0000"/>
                        </w:rPr>
                        <w:t>1</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9504" behindDoc="0" locked="0" layoutInCell="1" allowOverlap="1">
                <wp:simplePos x="0" y="0"/>
                <wp:positionH relativeFrom="column">
                  <wp:posOffset>2527300</wp:posOffset>
                </wp:positionH>
                <wp:positionV relativeFrom="paragraph">
                  <wp:posOffset>755650</wp:posOffset>
                </wp:positionV>
                <wp:extent cx="347345" cy="354330"/>
                <wp:effectExtent l="12700" t="12700" r="20955" b="13970"/>
                <wp:wrapNone/>
                <wp:docPr id="4" name="椭圆 4"/>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2</w:t>
                            </w:r>
                          </w:p>
                        </w:txbxContent>
                      </wps:txbx>
                      <wps:bodyPr lIns="0" tIns="0" rIns="0" bIns="0" anchor="ctr" upright="1"/>
                    </wps:wsp>
                  </a:graphicData>
                </a:graphic>
              </wp:anchor>
            </w:drawing>
          </mc:Choice>
          <mc:Fallback>
            <w:pict>
              <v:shape id="_x0000_s1026" o:spid="_x0000_s1026" o:spt="3" type="#_x0000_t3" style="position:absolute;left:0pt;margin-left:199pt;margin-top:59.5pt;height:27.9pt;width:27.35pt;z-index:251669504;v-text-anchor:middle;mso-width-relative:page;mso-height-relative:page;" filled="f" stroked="t" coordsize="21600,21600" o:gfxdata="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FoXy2gAAAAsBAAAPAAAAAAAAAAEAIAAAACIAAABkcnMvZG93bnJldi54&#10;bWxQSwECFAAUAAAACACHTuJAomC1WfgBAADcAwAADgAAAAAAAAABACAAAAApAQAAZHJzL2Uyb0Rv&#10;Yy54bWxQSwUGAAAAAAYABgBZAQAAkwUAAAAA&#10;">
                <v:path/>
                <v:fill on="f" focussize="0,0"/>
                <v:stroke weight="2pt" color="#FF0000"/>
                <v:imagedata o:title=""/>
                <o:lock v:ext="edit"/>
                <v:textbox inset="0mm,0mm,0mm,0mm">
                  <w:txbxContent>
                    <w:p>
                      <w:pPr>
                        <w:jc w:val="center"/>
                        <w:rPr>
                          <w:color w:val="FF0000"/>
                        </w:rPr>
                      </w:pPr>
                      <w:r>
                        <w:rPr>
                          <w:rFonts w:hint="eastAsia"/>
                          <w:color w:val="FF0000"/>
                        </w:rPr>
                        <w:t>2</w:t>
                      </w:r>
                    </w:p>
                  </w:txbxContent>
                </v:textbox>
              </v:shape>
            </w:pict>
          </mc:Fallback>
        </mc:AlternateContent>
      </w:r>
      <w:r>
        <w:rPr>
          <w:rFonts w:hint="eastAsia" w:ascii="宋体" w:hAnsi="宋体" w:cs="宋体"/>
          <w:sz w:val="21"/>
          <w:szCs w:val="21"/>
        </w:rPr>
        <w:drawing>
          <wp:inline distT="0" distB="0" distL="114300" distR="114300">
            <wp:extent cx="5280660" cy="1028700"/>
            <wp:effectExtent l="0" t="0" r="7620" b="7620"/>
            <wp:docPr id="6" name="图片 4"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说明: C:\Users\abc\AppData\Roaming\Tencent\Users\42054949\QQ\WinTemp\RichOle\PI$9P51%_3)$`]FJTC])1M3.png"/>
                    <pic:cNvPicPr>
                      <a:picLocks noChangeAspect="1"/>
                    </pic:cNvPicPr>
                  </pic:nvPicPr>
                  <pic:blipFill>
                    <a:blip r:embed="rId7"/>
                    <a:srcRect r="-473"/>
                    <a:stretch>
                      <a:fillRect/>
                    </a:stretch>
                  </pic:blipFill>
                  <pic:spPr>
                    <a:xfrm>
                      <a:off x="0" y="0"/>
                      <a:ext cx="5280660" cy="1028700"/>
                    </a:xfrm>
                    <a:prstGeom prst="rect">
                      <a:avLst/>
                    </a:prstGeom>
                    <a:noFill/>
                    <a:ln>
                      <a:noFill/>
                    </a:ln>
                  </pic:spPr>
                </pic:pic>
              </a:graphicData>
            </a:graphic>
          </wp:inline>
        </w:drawing>
      </w:r>
    </w:p>
    <w:p>
      <w:pPr>
        <w:overflowPunct w:val="0"/>
        <w:spacing w:line="288" w:lineRule="auto"/>
        <w:ind w:firstLine="220" w:firstLineChars="100"/>
        <w:rPr>
          <w:rFonts w:hint="eastAsia" w:hAnsi="宋体"/>
        </w:rPr>
      </w:pPr>
    </w:p>
    <w:p>
      <w:bookmarkStart w:id="238" w:name="_GoBack"/>
      <w:bookmarkEnd w:id="2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502"/>
        </w:tabs>
        <w:ind w:left="502" w:hanging="360"/>
      </w:pPr>
      <w:rPr>
        <w:rFonts w:hint="default" w:cs="Times New Roman"/>
      </w:rPr>
    </w:lvl>
    <w:lvl w:ilvl="1" w:tentative="0">
      <w:start w:val="1"/>
      <w:numFmt w:val="lowerLetter"/>
      <w:lvlText w:val="%2)"/>
      <w:lvlJc w:val="left"/>
      <w:pPr>
        <w:tabs>
          <w:tab w:val="left" w:pos="982"/>
        </w:tabs>
        <w:ind w:left="982" w:hanging="420"/>
      </w:pPr>
      <w:rPr>
        <w:rFonts w:cs="Times New Roman"/>
      </w:rPr>
    </w:lvl>
    <w:lvl w:ilvl="2" w:tentative="0">
      <w:start w:val="1"/>
      <w:numFmt w:val="lowerRoman"/>
      <w:lvlText w:val="%3."/>
      <w:lvlJc w:val="right"/>
      <w:pPr>
        <w:tabs>
          <w:tab w:val="left" w:pos="1402"/>
        </w:tabs>
        <w:ind w:left="1402" w:hanging="420"/>
      </w:pPr>
      <w:rPr>
        <w:rFonts w:cs="Times New Roman"/>
      </w:rPr>
    </w:lvl>
    <w:lvl w:ilvl="3" w:tentative="0">
      <w:start w:val="1"/>
      <w:numFmt w:val="decimal"/>
      <w:lvlText w:val="%4."/>
      <w:lvlJc w:val="left"/>
      <w:pPr>
        <w:tabs>
          <w:tab w:val="left" w:pos="1822"/>
        </w:tabs>
        <w:ind w:left="1822" w:hanging="420"/>
      </w:pPr>
      <w:rPr>
        <w:rFonts w:cs="Times New Roman"/>
      </w:rPr>
    </w:lvl>
    <w:lvl w:ilvl="4" w:tentative="0">
      <w:start w:val="1"/>
      <w:numFmt w:val="lowerLetter"/>
      <w:lvlText w:val="%5)"/>
      <w:lvlJc w:val="left"/>
      <w:pPr>
        <w:tabs>
          <w:tab w:val="left" w:pos="2242"/>
        </w:tabs>
        <w:ind w:left="2242" w:hanging="420"/>
      </w:pPr>
      <w:rPr>
        <w:rFonts w:cs="Times New Roman"/>
      </w:rPr>
    </w:lvl>
    <w:lvl w:ilvl="5" w:tentative="0">
      <w:start w:val="1"/>
      <w:numFmt w:val="lowerRoman"/>
      <w:lvlText w:val="%6."/>
      <w:lvlJc w:val="right"/>
      <w:pPr>
        <w:tabs>
          <w:tab w:val="left" w:pos="2662"/>
        </w:tabs>
        <w:ind w:left="2662" w:hanging="420"/>
      </w:pPr>
      <w:rPr>
        <w:rFonts w:cs="Times New Roman"/>
      </w:rPr>
    </w:lvl>
    <w:lvl w:ilvl="6" w:tentative="0">
      <w:start w:val="1"/>
      <w:numFmt w:val="decimal"/>
      <w:lvlText w:val="%7."/>
      <w:lvlJc w:val="left"/>
      <w:pPr>
        <w:tabs>
          <w:tab w:val="left" w:pos="3082"/>
        </w:tabs>
        <w:ind w:left="3082" w:hanging="420"/>
      </w:pPr>
      <w:rPr>
        <w:rFonts w:cs="Times New Roman"/>
      </w:rPr>
    </w:lvl>
    <w:lvl w:ilvl="7" w:tentative="0">
      <w:start w:val="1"/>
      <w:numFmt w:val="lowerLetter"/>
      <w:lvlText w:val="%8)"/>
      <w:lvlJc w:val="left"/>
      <w:pPr>
        <w:tabs>
          <w:tab w:val="left" w:pos="3502"/>
        </w:tabs>
        <w:ind w:left="3502" w:hanging="420"/>
      </w:pPr>
      <w:rPr>
        <w:rFonts w:cs="Times New Roman"/>
      </w:rPr>
    </w:lvl>
    <w:lvl w:ilvl="8" w:tentative="0">
      <w:start w:val="1"/>
      <w:numFmt w:val="lowerRoman"/>
      <w:lvlText w:val="%9."/>
      <w:lvlJc w:val="right"/>
      <w:pPr>
        <w:tabs>
          <w:tab w:val="left" w:pos="3922"/>
        </w:tabs>
        <w:ind w:left="392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E1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2"/>
      <w:szCs w:val="22"/>
      <w:lang w:val="en-US" w:eastAsia="zh-CN" w:bidi="ar-SA"/>
    </w:rPr>
  </w:style>
  <w:style w:type="character" w:default="1" w:styleId="4">
    <w:name w:val="Default Paragraph Font"/>
    <w:link w:val="5"/>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Normal (Web)"/>
    <w:basedOn w:val="1"/>
    <w:qFormat/>
    <w:uiPriority w:val="0"/>
    <w:pPr>
      <w:spacing w:before="100" w:beforeLines="0" w:beforeAutospacing="1" w:after="100" w:afterLines="0" w:afterAutospacing="1"/>
    </w:pPr>
    <w:rPr>
      <w:rFonts w:ascii="宋体" w:hAnsi="宋体" w:cs="宋体"/>
      <w:sz w:val="24"/>
      <w:szCs w:val="24"/>
    </w:rPr>
  </w:style>
  <w:style w:type="paragraph" w:customStyle="1" w:styleId="5">
    <w:name w:val="_Style 17"/>
    <w:basedOn w:val="1"/>
    <w:link w:val="4"/>
    <w:qFormat/>
    <w:uiPriority w:val="0"/>
    <w:pPr>
      <w:widowControl/>
      <w:spacing w:after="160" w:afterLines="0" w:line="240" w:lineRule="exact"/>
      <w:jc w:val="left"/>
    </w:p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Style7"/>
    <w:basedOn w:val="1"/>
    <w:qFormat/>
    <w:uiPriority w:val="0"/>
    <w:pPr>
      <w:adjustRightInd w:val="0"/>
      <w:spacing w:line="533" w:lineRule="exact"/>
      <w:jc w:val="center"/>
    </w:pPr>
    <w:rPr>
      <w:rFonts w:ascii="黑体" w:eastAsia="黑体"/>
      <w:kern w:val="0"/>
      <w:sz w:val="24"/>
    </w:rPr>
  </w:style>
  <w:style w:type="paragraph" w:customStyle="1" w:styleId="9">
    <w:name w:val="Style10"/>
    <w:basedOn w:val="1"/>
    <w:qFormat/>
    <w:uiPriority w:val="0"/>
    <w:pPr>
      <w:adjustRightInd w:val="0"/>
      <w:spacing w:line="310" w:lineRule="exact"/>
    </w:pPr>
    <w:rPr>
      <w:rFonts w:ascii="黑体" w:eastAsia="黑体"/>
      <w:kern w:val="0"/>
      <w:sz w:val="24"/>
    </w:rPr>
  </w:style>
  <w:style w:type="character" w:customStyle="1" w:styleId="10">
    <w:name w:val="Font Style49"/>
    <w:basedOn w:val="4"/>
    <w:qFormat/>
    <w:uiPriority w:val="0"/>
    <w:rPr>
      <w:rFonts w:ascii="Times New Roman" w:hAnsi="Times New Roman" w:cs="Times New Roman"/>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岳振伟</dc:creator>
  <cp:lastModifiedBy>岳振伟</cp:lastModifiedBy>
  <dcterms:modified xsi:type="dcterms:W3CDTF">2020-09-08T06:17:51Z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