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ascii="黑体" w:hAnsi="黑体" w:eastAsia="黑体" w:cs="宋体"/>
          <w:sz w:val="28"/>
          <w:szCs w:val="28"/>
          <w:highlight w:val="none"/>
        </w:rPr>
      </w:pPr>
      <w:r>
        <w:rPr>
          <w:rFonts w:hint="eastAsia" w:ascii="黑体" w:hAnsi="黑体" w:eastAsia="黑体" w:cs="宋体"/>
          <w:sz w:val="28"/>
          <w:szCs w:val="28"/>
          <w:highlight w:val="none"/>
        </w:rPr>
        <w:t>一、产品技术要求及检测方法</w:t>
      </w:r>
    </w:p>
    <w:p>
      <w:pPr>
        <w:pStyle w:val="5"/>
        <w:numPr>
          <w:ilvl w:val="0"/>
          <w:numId w:val="1"/>
        </w:numPr>
        <w:tabs>
          <w:tab w:val="clear" w:pos="360"/>
        </w:tabs>
        <w:spacing w:before="312" w:beforeLines="100" w:after="312" w:afterLines="100" w:line="360" w:lineRule="auto"/>
        <w:rPr>
          <w:rFonts w:ascii="Times New Roman"/>
          <w:highlight w:val="none"/>
        </w:rPr>
      </w:pPr>
      <w:r>
        <w:rPr>
          <w:rFonts w:ascii="Times New Roman"/>
          <w:highlight w:val="none"/>
        </w:rPr>
        <w:t>技术要求</w:t>
      </w:r>
    </w:p>
    <w:p>
      <w:pPr>
        <w:pStyle w:val="2"/>
        <w:spacing w:line="360" w:lineRule="auto"/>
        <w:rPr>
          <w:rFonts w:ascii="仿宋" w:hAnsi="仿宋" w:eastAsia="仿宋" w:cs="宋体"/>
          <w:sz w:val="24"/>
          <w:szCs w:val="24"/>
          <w:highlight w:val="none"/>
        </w:rPr>
      </w:pPr>
      <w:r>
        <w:rPr>
          <w:rFonts w:ascii="仿宋" w:hAnsi="仿宋" w:eastAsia="仿宋" w:cs="宋体"/>
          <w:sz w:val="24"/>
          <w:szCs w:val="24"/>
          <w:highlight w:val="none"/>
        </w:rPr>
        <w:t>应符合表1的规定。</w:t>
      </w:r>
    </w:p>
    <w:p>
      <w:pPr>
        <w:pStyle w:val="2"/>
        <w:spacing w:line="360" w:lineRule="auto"/>
        <w:jc w:val="center"/>
        <w:rPr>
          <w:rFonts w:ascii="黑体" w:hAnsi="黑体" w:eastAsia="黑体" w:cs="宋体"/>
          <w:sz w:val="24"/>
          <w:szCs w:val="24"/>
          <w:highlight w:val="none"/>
        </w:rPr>
      </w:pPr>
      <w:r>
        <w:rPr>
          <w:rFonts w:ascii="黑体" w:hAnsi="黑体" w:eastAsia="黑体" w:cs="宋体"/>
          <w:sz w:val="24"/>
          <w:szCs w:val="24"/>
          <w:highlight w:val="none"/>
        </w:rPr>
        <w:t>表1  技术指标</w:t>
      </w:r>
    </w:p>
    <w:tbl>
      <w:tblPr>
        <w:tblStyle w:val="4"/>
        <w:tblW w:w="81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70"/>
        <w:gridCol w:w="41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4070" w:type="dxa"/>
            <w:vAlign w:val="top"/>
          </w:tcPr>
          <w:p>
            <w:pPr>
              <w:ind w:firstLine="360"/>
              <w:jc w:val="center"/>
              <w:rPr>
                <w:rFonts w:hint="eastAsia" w:ascii="黑体" w:hAnsi="黑体" w:eastAsia="黑体" w:cs="黑体"/>
                <w:szCs w:val="18"/>
                <w:highlight w:val="none"/>
              </w:rPr>
            </w:pPr>
            <w:r>
              <w:rPr>
                <w:rFonts w:hint="eastAsia" w:ascii="黑体" w:hAnsi="黑体" w:eastAsia="黑体" w:cs="黑体"/>
                <w:szCs w:val="18"/>
                <w:highlight w:val="none"/>
              </w:rPr>
              <w:t>项 目</w:t>
            </w:r>
          </w:p>
        </w:tc>
        <w:tc>
          <w:tcPr>
            <w:tcW w:w="4110" w:type="dxa"/>
            <w:vAlign w:val="top"/>
          </w:tcPr>
          <w:p>
            <w:pPr>
              <w:ind w:firstLine="360"/>
              <w:jc w:val="center"/>
              <w:rPr>
                <w:rFonts w:hint="eastAsia" w:ascii="黑体" w:hAnsi="黑体" w:eastAsia="黑体" w:cs="黑体"/>
                <w:szCs w:val="18"/>
                <w:highlight w:val="none"/>
              </w:rPr>
            </w:pPr>
            <w:r>
              <w:rPr>
                <w:rFonts w:hint="eastAsia" w:ascii="黑体" w:hAnsi="黑体" w:eastAsia="黑体" w:cs="黑体"/>
                <w:szCs w:val="18"/>
                <w:highlight w:val="none"/>
              </w:rPr>
              <w:t>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070" w:type="dxa"/>
            <w:vAlign w:val="top"/>
          </w:tcPr>
          <w:p>
            <w:pPr>
              <w:ind w:firstLine="100" w:firstLineChars="50"/>
              <w:jc w:val="center"/>
              <w:rPr>
                <w:rFonts w:hint="eastAsia" w:ascii="仿宋" w:hAnsi="仿宋" w:eastAsia="仿宋" w:cs="仿宋"/>
                <w:szCs w:val="18"/>
                <w:highlight w:val="none"/>
              </w:rPr>
            </w:pPr>
            <w:r>
              <w:rPr>
                <w:rFonts w:hint="eastAsia" w:ascii="仿宋" w:hAnsi="仿宋" w:eastAsia="仿宋" w:cs="仿宋"/>
                <w:szCs w:val="18"/>
                <w:highlight w:val="none"/>
              </w:rPr>
              <w:t>密度，g/cm</w:t>
            </w:r>
            <w:r>
              <w:rPr>
                <w:rFonts w:hint="eastAsia" w:ascii="仿宋" w:hAnsi="仿宋" w:eastAsia="仿宋" w:cs="仿宋"/>
                <w:szCs w:val="18"/>
                <w:highlight w:val="none"/>
                <w:vertAlign w:val="superscript"/>
              </w:rPr>
              <w:t>3</w:t>
            </w:r>
          </w:p>
        </w:tc>
        <w:tc>
          <w:tcPr>
            <w:tcW w:w="4110" w:type="dxa"/>
            <w:vAlign w:val="center"/>
          </w:tcPr>
          <w:p>
            <w:pPr>
              <w:ind w:firstLine="360"/>
              <w:jc w:val="center"/>
              <w:rPr>
                <w:rFonts w:hint="eastAsia" w:ascii="仿宋" w:hAnsi="仿宋" w:eastAsia="仿宋" w:cs="仿宋"/>
                <w:szCs w:val="18"/>
                <w:highlight w:val="none"/>
              </w:rPr>
            </w:pPr>
            <w:r>
              <w:rPr>
                <w:rFonts w:hint="eastAsia" w:ascii="仿宋" w:hAnsi="仿宋" w:eastAsia="仿宋" w:cs="仿宋"/>
                <w:szCs w:val="18"/>
                <w:highlight w:val="none"/>
              </w:rPr>
              <w:t>0.96-1.08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070" w:type="dxa"/>
            <w:vAlign w:val="top"/>
          </w:tcPr>
          <w:p>
            <w:pPr>
              <w:ind w:firstLine="100" w:firstLineChars="50"/>
              <w:jc w:val="center"/>
              <w:rPr>
                <w:rFonts w:hint="eastAsia" w:ascii="仿宋" w:hAnsi="仿宋" w:eastAsia="仿宋" w:cs="仿宋"/>
                <w:szCs w:val="18"/>
                <w:highlight w:val="none"/>
              </w:rPr>
            </w:pPr>
            <w:r>
              <w:rPr>
                <w:rFonts w:hint="eastAsia" w:ascii="仿宋" w:hAnsi="仿宋" w:eastAsia="仿宋" w:cs="仿宋"/>
                <w:szCs w:val="18"/>
                <w:highlight w:val="none"/>
              </w:rPr>
              <w:t>溶胀率，%</w:t>
            </w:r>
          </w:p>
        </w:tc>
        <w:tc>
          <w:tcPr>
            <w:tcW w:w="4110" w:type="dxa"/>
            <w:vAlign w:val="center"/>
          </w:tcPr>
          <w:p>
            <w:pPr>
              <w:ind w:firstLine="360"/>
              <w:jc w:val="center"/>
              <w:rPr>
                <w:rFonts w:hint="eastAsia" w:ascii="仿宋" w:hAnsi="仿宋" w:eastAsia="仿宋" w:cs="仿宋"/>
                <w:szCs w:val="18"/>
                <w:highlight w:val="none"/>
                <w:lang w:eastAsia="zh-CN"/>
              </w:rPr>
            </w:pPr>
            <w:r>
              <w:rPr>
                <w:rFonts w:hint="eastAsia" w:ascii="仿宋" w:hAnsi="仿宋" w:eastAsia="仿宋" w:cs="仿宋"/>
                <w:szCs w:val="18"/>
                <w:highlight w:val="none"/>
                <w:lang w:eastAsia="zh-CN"/>
              </w:rPr>
              <w:t>实测数据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070" w:type="dxa"/>
            <w:vAlign w:val="top"/>
          </w:tcPr>
          <w:p>
            <w:pPr>
              <w:ind w:firstLine="100" w:firstLineChars="50"/>
              <w:jc w:val="center"/>
              <w:rPr>
                <w:rFonts w:hint="eastAsia" w:ascii="仿宋" w:hAnsi="仿宋" w:eastAsia="仿宋" w:cs="仿宋"/>
                <w:szCs w:val="18"/>
                <w:highlight w:val="none"/>
              </w:rPr>
            </w:pPr>
            <w:r>
              <w:rPr>
                <w:rFonts w:hint="eastAsia" w:ascii="仿宋" w:hAnsi="仿宋" w:eastAsia="仿宋" w:cs="仿宋"/>
                <w:szCs w:val="18"/>
                <w:highlight w:val="none"/>
              </w:rPr>
              <w:t>配伍性</w:t>
            </w:r>
          </w:p>
        </w:tc>
        <w:tc>
          <w:tcPr>
            <w:tcW w:w="4110" w:type="dxa"/>
            <w:vAlign w:val="center"/>
          </w:tcPr>
          <w:p>
            <w:pPr>
              <w:ind w:firstLine="360"/>
              <w:jc w:val="center"/>
              <w:rPr>
                <w:rFonts w:hint="eastAsia" w:ascii="仿宋" w:hAnsi="仿宋" w:eastAsia="仿宋" w:cs="仿宋"/>
                <w:szCs w:val="18"/>
                <w:highlight w:val="none"/>
              </w:rPr>
            </w:pPr>
            <w:r>
              <w:rPr>
                <w:rFonts w:hint="eastAsia" w:ascii="仿宋" w:hAnsi="仿宋" w:eastAsia="仿宋" w:cs="仿宋"/>
                <w:szCs w:val="18"/>
                <w:highlight w:val="none"/>
              </w:rPr>
              <w:t>配伍性良好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070" w:type="dxa"/>
            <w:vAlign w:val="top"/>
          </w:tcPr>
          <w:p>
            <w:pPr>
              <w:ind w:firstLine="100" w:firstLineChars="50"/>
              <w:jc w:val="center"/>
              <w:rPr>
                <w:rFonts w:hint="eastAsia" w:ascii="仿宋" w:hAnsi="仿宋" w:eastAsia="仿宋" w:cs="仿宋"/>
                <w:szCs w:val="18"/>
                <w:highlight w:val="none"/>
              </w:rPr>
            </w:pPr>
            <w:r>
              <w:rPr>
                <w:rFonts w:hint="eastAsia" w:ascii="仿宋" w:hAnsi="仿宋" w:eastAsia="仿宋" w:cs="仿宋"/>
                <w:szCs w:val="18"/>
                <w:highlight w:val="none"/>
              </w:rPr>
              <w:t>降阻率，%</w:t>
            </w:r>
          </w:p>
        </w:tc>
        <w:tc>
          <w:tcPr>
            <w:tcW w:w="4110" w:type="dxa"/>
            <w:vAlign w:val="center"/>
          </w:tcPr>
          <w:p>
            <w:pPr>
              <w:ind w:firstLine="360"/>
              <w:jc w:val="center"/>
              <w:rPr>
                <w:rFonts w:hint="eastAsia" w:ascii="仿宋" w:hAnsi="仿宋" w:eastAsia="仿宋" w:cs="仿宋"/>
                <w:szCs w:val="18"/>
                <w:highlight w:val="none"/>
              </w:rPr>
            </w:pPr>
            <w:r>
              <w:rPr>
                <w:rFonts w:hint="eastAsia" w:ascii="仿宋" w:hAnsi="仿宋" w:eastAsia="仿宋" w:cs="仿宋"/>
                <w:szCs w:val="18"/>
                <w:highlight w:val="none"/>
              </w:rPr>
              <w:t>≥70</w:t>
            </w:r>
          </w:p>
        </w:tc>
      </w:tr>
    </w:tbl>
    <w:p>
      <w:pPr>
        <w:pStyle w:val="5"/>
        <w:numPr>
          <w:ilvl w:val="0"/>
          <w:numId w:val="1"/>
        </w:numPr>
        <w:tabs>
          <w:tab w:val="clear" w:pos="360"/>
        </w:tabs>
        <w:spacing w:before="312" w:beforeLines="100" w:after="312" w:afterLines="100" w:line="360" w:lineRule="auto"/>
        <w:rPr>
          <w:rFonts w:ascii="Times New Roman"/>
          <w:highlight w:val="none"/>
        </w:rPr>
      </w:pPr>
      <w:r>
        <w:rPr>
          <w:rFonts w:hint="eastAsia" w:ascii="Times New Roman"/>
          <w:highlight w:val="none"/>
        </w:rPr>
        <w:t xml:space="preserve"> 检测</w:t>
      </w:r>
      <w:r>
        <w:rPr>
          <w:rFonts w:ascii="Times New Roman"/>
          <w:highlight w:val="none"/>
        </w:rPr>
        <w:t>方法</w:t>
      </w:r>
    </w:p>
    <w:p>
      <w:pPr>
        <w:widowControl/>
        <w:spacing w:before="156" w:beforeLines="50" w:after="156" w:afterLines="50" w:line="360" w:lineRule="auto"/>
        <w:ind w:firstLine="482" w:firstLineChars="200"/>
        <w:jc w:val="left"/>
        <w:outlineLvl w:val="2"/>
        <w:rPr>
          <w:highlight w:val="none"/>
        </w:rPr>
      </w:pPr>
      <w:r>
        <w:rPr>
          <w:rFonts w:hint="eastAsia" w:ascii="仿宋" w:hAnsi="仿宋" w:eastAsia="仿宋" w:cs="宋体"/>
          <w:b/>
          <w:bCs/>
          <w:sz w:val="24"/>
          <w:highlight w:val="none"/>
          <w:lang w:eastAsia="zh-CN"/>
        </w:rPr>
        <w:t>压裂用减阻剂</w:t>
      </w:r>
      <w:r>
        <w:rPr>
          <w:rFonts w:hint="eastAsia" w:ascii="仿宋" w:hAnsi="仿宋" w:eastAsia="仿宋" w:cs="宋体"/>
          <w:b/>
          <w:bCs/>
          <w:sz w:val="24"/>
          <w:highlight w:val="none"/>
        </w:rPr>
        <w:t>检测方法：依照GB/T4472-2011、SY/T6376-2008检测。</w:t>
      </w:r>
    </w:p>
    <w:p>
      <w:pPr>
        <w:widowControl/>
        <w:numPr>
          <w:ilvl w:val="1"/>
          <w:numId w:val="1"/>
        </w:numPr>
        <w:spacing w:before="156" w:beforeLines="50" w:after="156" w:afterLines="50" w:line="360" w:lineRule="auto"/>
        <w:ind w:left="0" w:leftChars="0" w:firstLine="0" w:firstLineChars="0"/>
        <w:jc w:val="left"/>
        <w:outlineLvl w:val="2"/>
        <w:rPr>
          <w:rFonts w:hint="eastAsia" w:ascii="仿宋" w:hAnsi="仿宋" w:eastAsia="仿宋" w:cs="宋体"/>
          <w:sz w:val="24"/>
          <w:highlight w:val="none"/>
        </w:rPr>
      </w:pPr>
      <w:r>
        <w:rPr>
          <w:rFonts w:hint="eastAsia" w:ascii="黑体" w:eastAsia="黑体"/>
          <w:kern w:val="0"/>
          <w:szCs w:val="21"/>
          <w:highlight w:val="none"/>
        </w:rPr>
        <w:t xml:space="preserve"> 密度测定</w:t>
      </w:r>
    </w:p>
    <w:p>
      <w:pPr>
        <w:widowControl/>
        <w:numPr>
          <w:ilvl w:val="0"/>
          <w:numId w:val="0"/>
        </w:numPr>
        <w:spacing w:before="156" w:beforeLines="50" w:after="156" w:afterLines="50" w:line="360" w:lineRule="auto"/>
        <w:ind w:leftChars="0" w:firstLine="720" w:firstLineChars="300"/>
        <w:jc w:val="left"/>
        <w:outlineLvl w:val="2"/>
        <w:rPr>
          <w:rFonts w:ascii="黑体" w:eastAsia="黑体"/>
          <w:kern w:val="0"/>
          <w:szCs w:val="21"/>
          <w:highlight w:val="none"/>
        </w:rPr>
      </w:pPr>
      <w:r>
        <w:rPr>
          <w:rFonts w:hint="eastAsia" w:ascii="仿宋" w:hAnsi="仿宋" w:eastAsia="仿宋" w:cs="宋体"/>
          <w:sz w:val="24"/>
          <w:highlight w:val="none"/>
        </w:rPr>
        <w:t>0.96-1.08 g/cm</w:t>
      </w:r>
      <w:r>
        <w:rPr>
          <w:rFonts w:hint="eastAsia" w:ascii="仿宋" w:hAnsi="仿宋" w:eastAsia="仿宋" w:cs="宋体"/>
          <w:sz w:val="24"/>
          <w:highlight w:val="none"/>
          <w:vertAlign w:val="superscript"/>
        </w:rPr>
        <w:t>3</w:t>
      </w:r>
      <w:r>
        <w:rPr>
          <w:rFonts w:hint="eastAsia" w:ascii="仿宋" w:hAnsi="仿宋" w:eastAsia="仿宋" w:cs="宋体"/>
          <w:sz w:val="24"/>
          <w:highlight w:val="none"/>
        </w:rPr>
        <w:t xml:space="preserve">；按GB/T4472-2011中4.3.3规定执行。                                                                                                               </w:t>
      </w:r>
    </w:p>
    <w:p>
      <w:pPr>
        <w:widowControl/>
        <w:spacing w:before="156" w:beforeLines="50" w:after="156" w:afterLines="50" w:line="360" w:lineRule="auto"/>
        <w:jc w:val="left"/>
        <w:outlineLvl w:val="2"/>
        <w:rPr>
          <w:rFonts w:hint="eastAsia" w:ascii="仿宋" w:hAnsi="仿宋" w:eastAsia="仿宋" w:cs="宋体"/>
          <w:sz w:val="24"/>
          <w:highlight w:val="none"/>
        </w:rPr>
      </w:pPr>
      <w:r>
        <w:rPr>
          <w:rFonts w:hint="eastAsia" w:ascii="黑体" w:eastAsia="黑体"/>
          <w:kern w:val="0"/>
          <w:szCs w:val="21"/>
          <w:highlight w:val="none"/>
        </w:rPr>
        <w:t>2.2</w:t>
      </w:r>
      <w:r>
        <w:rPr>
          <w:rFonts w:hint="eastAsia" w:ascii="仿宋" w:hAnsi="仿宋" w:eastAsia="仿宋" w:cs="宋体"/>
          <w:sz w:val="24"/>
          <w:highlight w:val="none"/>
        </w:rPr>
        <w:t>.</w:t>
      </w:r>
      <w:r>
        <w:rPr>
          <w:rFonts w:hint="eastAsia" w:ascii="黑体" w:eastAsia="黑体"/>
          <w:kern w:val="0"/>
          <w:szCs w:val="21"/>
          <w:highlight w:val="none"/>
        </w:rPr>
        <w:t>溶胀率测定</w:t>
      </w:r>
    </w:p>
    <w:p>
      <w:pPr>
        <w:widowControl/>
        <w:spacing w:before="156" w:beforeLines="50" w:after="156" w:afterLines="50" w:line="360" w:lineRule="auto"/>
        <w:ind w:firstLine="480" w:firstLineChars="200"/>
        <w:jc w:val="left"/>
        <w:outlineLvl w:val="2"/>
        <w:rPr>
          <w:rFonts w:hint="eastAsia" w:ascii="仿宋" w:hAnsi="仿宋" w:eastAsia="仿宋" w:cs="宋体"/>
          <w:kern w:val="2"/>
          <w:sz w:val="24"/>
          <w:szCs w:val="24"/>
          <w:highlight w:val="none"/>
          <w:lang w:val="en-US" w:eastAsia="zh-CN" w:bidi="ar-SA"/>
        </w:rPr>
      </w:pPr>
      <w:r>
        <w:rPr>
          <w:rFonts w:hint="eastAsia" w:ascii="仿宋" w:hAnsi="仿宋" w:eastAsia="仿宋" w:cs="宋体"/>
          <w:kern w:val="2"/>
          <w:sz w:val="24"/>
          <w:szCs w:val="24"/>
          <w:highlight w:val="none"/>
          <w:lang w:val="en-US" w:eastAsia="zh-CN" w:bidi="ar-SA"/>
        </w:rPr>
        <w:t>取0.5g减阻剂，在玻璃棒搅拌的同时缓慢加入到499.5g水中，在20℃±1℃的恒温水浴中静置3min，用毛细管粘度计测定该溶液的粘度μ1；在20℃±1℃的恒温水浴中静置4h后，测定其表观粘度μ2，计算溶胀率：B=μ1/μ2×100。</w:t>
      </w:r>
    </w:p>
    <w:p>
      <w:pPr>
        <w:widowControl/>
        <w:spacing w:before="156" w:beforeLines="50" w:after="156" w:afterLines="50" w:line="360" w:lineRule="auto"/>
        <w:jc w:val="left"/>
        <w:outlineLvl w:val="2"/>
        <w:rPr>
          <w:rFonts w:hint="eastAsia" w:ascii="黑体" w:eastAsia="黑体"/>
          <w:kern w:val="0"/>
          <w:szCs w:val="21"/>
          <w:highlight w:val="none"/>
        </w:rPr>
      </w:pPr>
      <w:r>
        <w:rPr>
          <w:rFonts w:hint="eastAsia" w:ascii="黑体" w:eastAsia="黑体"/>
          <w:kern w:val="0"/>
          <w:szCs w:val="21"/>
          <w:highlight w:val="none"/>
        </w:rPr>
        <w:t>2.3降阻率测定</w:t>
      </w:r>
    </w:p>
    <w:p>
      <w:pPr>
        <w:widowControl/>
        <w:spacing w:before="156" w:beforeLines="50" w:after="156" w:afterLines="50" w:line="360" w:lineRule="auto"/>
        <w:ind w:firstLine="720" w:firstLineChars="300"/>
        <w:jc w:val="left"/>
        <w:outlineLvl w:val="2"/>
        <w:rPr>
          <w:rFonts w:ascii="仿宋" w:hAnsi="仿宋" w:eastAsia="仿宋" w:cs="宋体"/>
          <w:sz w:val="24"/>
          <w:highlight w:val="none"/>
        </w:rPr>
      </w:pPr>
      <w:r>
        <w:rPr>
          <w:rFonts w:hint="eastAsia" w:ascii="仿宋" w:hAnsi="仿宋" w:eastAsia="仿宋" w:cs="宋体"/>
          <w:sz w:val="24"/>
          <w:highlight w:val="none"/>
        </w:rPr>
        <w:t>提供2017年</w:t>
      </w:r>
      <w:r>
        <w:rPr>
          <w:rFonts w:hint="eastAsia" w:ascii="仿宋" w:hAnsi="仿宋" w:eastAsia="仿宋" w:cs="宋体"/>
          <w:sz w:val="24"/>
          <w:highlight w:val="none"/>
          <w:lang w:eastAsia="zh-CN"/>
        </w:rPr>
        <w:t>以来</w:t>
      </w:r>
      <w:r>
        <w:rPr>
          <w:rFonts w:hint="eastAsia" w:ascii="仿宋" w:hAnsi="仿宋" w:eastAsia="仿宋" w:cs="宋体"/>
          <w:sz w:val="24"/>
          <w:highlight w:val="none"/>
        </w:rPr>
        <w:t>中石油第三方国家认证机构的检验报告指标（按压裂液通用技术条件SY/T6376-2008中7.13规定执行）≥70%。</w:t>
      </w:r>
    </w:p>
    <w:p>
      <w:pPr>
        <w:widowControl/>
        <w:spacing w:before="156" w:beforeLines="50" w:after="156" w:afterLines="50" w:line="360" w:lineRule="auto"/>
        <w:jc w:val="left"/>
        <w:outlineLvl w:val="2"/>
        <w:rPr>
          <w:rFonts w:hint="eastAsia" w:ascii="黑体" w:eastAsia="黑体"/>
          <w:kern w:val="0"/>
          <w:szCs w:val="21"/>
          <w:highlight w:val="none"/>
        </w:rPr>
      </w:pPr>
      <w:r>
        <w:rPr>
          <w:rFonts w:hint="eastAsia" w:ascii="黑体" w:eastAsia="黑体"/>
          <w:kern w:val="0"/>
          <w:szCs w:val="21"/>
          <w:highlight w:val="none"/>
        </w:rPr>
        <w:t>2.4配伍性</w:t>
      </w:r>
    </w:p>
    <w:p>
      <w:pPr>
        <w:widowControl/>
        <w:spacing w:before="156" w:beforeLines="50" w:after="156" w:afterLines="50" w:line="360" w:lineRule="auto"/>
        <w:ind w:firstLine="480" w:firstLineChars="200"/>
        <w:jc w:val="left"/>
        <w:outlineLvl w:val="2"/>
        <w:rPr>
          <w:rFonts w:hint="eastAsia" w:ascii="仿宋" w:hAnsi="仿宋" w:eastAsia="仿宋" w:cs="宋体"/>
          <w:sz w:val="24"/>
          <w:highlight w:val="none"/>
        </w:rPr>
      </w:pPr>
      <w:r>
        <w:rPr>
          <w:rFonts w:hint="eastAsia" w:ascii="仿宋" w:hAnsi="仿宋" w:eastAsia="仿宋" w:cs="宋体"/>
          <w:sz w:val="24"/>
          <w:highlight w:val="none"/>
        </w:rPr>
        <w:t>与0.5%浓度的胍胶类压裂液体配伍性良好。</w:t>
      </w:r>
    </w:p>
    <w:p>
      <w:pPr>
        <w:widowControl/>
        <w:spacing w:before="156" w:beforeLines="50" w:after="156" w:afterLines="50" w:line="360" w:lineRule="auto"/>
        <w:ind w:firstLine="482" w:firstLineChars="200"/>
        <w:jc w:val="left"/>
        <w:outlineLvl w:val="2"/>
        <w:rPr>
          <w:rFonts w:ascii="仿宋" w:hAnsi="仿宋" w:eastAsia="仿宋" w:cs="宋体"/>
          <w:b/>
          <w:bCs/>
          <w:sz w:val="24"/>
          <w:highlight w:val="none"/>
        </w:rPr>
      </w:pPr>
      <w:r>
        <w:rPr>
          <w:rFonts w:hint="eastAsia" w:ascii="仿宋" w:hAnsi="仿宋" w:eastAsia="仿宋" w:cs="宋体"/>
          <w:b/>
          <w:bCs/>
          <w:sz w:val="24"/>
          <w:highlight w:val="none"/>
          <w:lang w:eastAsia="zh-CN"/>
        </w:rPr>
        <w:t>压裂用减阻剂</w:t>
      </w:r>
      <w:r>
        <w:rPr>
          <w:rFonts w:hint="eastAsia" w:ascii="仿宋" w:hAnsi="仿宋" w:eastAsia="仿宋" w:cs="宋体"/>
          <w:b/>
          <w:bCs/>
          <w:sz w:val="24"/>
          <w:highlight w:val="none"/>
        </w:rPr>
        <w:t>检测方法：依照GB/T4472-2011、SY/T6376-2008检测。</w:t>
      </w:r>
    </w:p>
    <w:p>
      <w:pPr>
        <w:pStyle w:val="5"/>
        <w:numPr>
          <w:ilvl w:val="0"/>
          <w:numId w:val="1"/>
        </w:numPr>
        <w:tabs>
          <w:tab w:val="clear" w:pos="360"/>
        </w:tabs>
        <w:spacing w:before="312" w:beforeLines="100" w:after="312" w:afterLines="100" w:line="360" w:lineRule="auto"/>
        <w:rPr>
          <w:rFonts w:ascii="Times New Roman"/>
          <w:highlight w:val="none"/>
        </w:rPr>
      </w:pPr>
      <w:r>
        <w:rPr>
          <w:rFonts w:ascii="Times New Roman"/>
          <w:highlight w:val="none"/>
        </w:rPr>
        <w:t>检验规则</w:t>
      </w:r>
    </w:p>
    <w:p>
      <w:pPr>
        <w:pStyle w:val="6"/>
        <w:tabs>
          <w:tab w:val="left" w:pos="840"/>
        </w:tabs>
        <w:rPr>
          <w:rFonts w:ascii="Times New Roman"/>
          <w:color w:val="000000"/>
          <w:highlight w:val="none"/>
        </w:rPr>
      </w:pPr>
      <w:r>
        <w:rPr>
          <w:rFonts w:ascii="Times New Roman"/>
          <w:color w:val="000000"/>
          <w:highlight w:val="none"/>
        </w:rPr>
        <w:t>抽样</w:t>
      </w:r>
    </w:p>
    <w:p>
      <w:pPr>
        <w:pStyle w:val="7"/>
        <w:spacing w:line="360" w:lineRule="auto"/>
        <w:ind w:firstLine="480"/>
        <w:rPr>
          <w:rFonts w:ascii="Times New Roman"/>
          <w:color w:val="000000"/>
          <w:highlight w:val="none"/>
        </w:rPr>
      </w:pPr>
      <w:r>
        <w:rPr>
          <w:rFonts w:ascii="仿宋" w:hAnsi="仿宋" w:eastAsia="仿宋" w:cs="宋体"/>
          <w:kern w:val="2"/>
          <w:sz w:val="24"/>
          <w:szCs w:val="24"/>
          <w:highlight w:val="none"/>
        </w:rPr>
        <w:t>以每次</w:t>
      </w:r>
      <w:r>
        <w:rPr>
          <w:rFonts w:hint="eastAsia" w:ascii="仿宋" w:hAnsi="仿宋" w:eastAsia="仿宋" w:cs="宋体"/>
          <w:kern w:val="2"/>
          <w:sz w:val="24"/>
          <w:szCs w:val="24"/>
          <w:highlight w:val="none"/>
        </w:rPr>
        <w:t>到货</w:t>
      </w:r>
      <w:r>
        <w:rPr>
          <w:rFonts w:ascii="仿宋" w:hAnsi="仿宋" w:eastAsia="仿宋" w:cs="宋体"/>
          <w:kern w:val="2"/>
          <w:sz w:val="24"/>
          <w:szCs w:val="24"/>
          <w:highlight w:val="none"/>
        </w:rPr>
        <w:t>的产品为一批产品，按照GB/T 66</w:t>
      </w:r>
      <w:r>
        <w:rPr>
          <w:rFonts w:hint="eastAsia" w:ascii="仿宋" w:hAnsi="仿宋" w:eastAsia="仿宋" w:cs="宋体"/>
          <w:kern w:val="2"/>
          <w:sz w:val="24"/>
          <w:szCs w:val="24"/>
          <w:highlight w:val="none"/>
        </w:rPr>
        <w:t>80</w:t>
      </w:r>
      <w:r>
        <w:rPr>
          <w:rFonts w:ascii="仿宋" w:hAnsi="仿宋" w:eastAsia="仿宋" w:cs="宋体"/>
          <w:kern w:val="2"/>
          <w:sz w:val="24"/>
          <w:szCs w:val="24"/>
          <w:highlight w:val="none"/>
        </w:rPr>
        <w:t xml:space="preserve">-2003 </w:t>
      </w:r>
      <w:r>
        <w:rPr>
          <w:rFonts w:hint="eastAsia" w:ascii="仿宋" w:hAnsi="仿宋" w:eastAsia="仿宋" w:cs="宋体"/>
          <w:kern w:val="2"/>
          <w:sz w:val="24"/>
          <w:szCs w:val="24"/>
          <w:highlight w:val="none"/>
        </w:rPr>
        <w:t>液</w:t>
      </w:r>
      <w:r>
        <w:rPr>
          <w:rFonts w:ascii="仿宋" w:hAnsi="仿宋" w:eastAsia="仿宋" w:cs="宋体"/>
          <w:kern w:val="2"/>
          <w:sz w:val="24"/>
          <w:szCs w:val="24"/>
          <w:highlight w:val="none"/>
        </w:rPr>
        <w:t>体化工产品采样通则规定进行取样，每次取样不少于600</w:t>
      </w:r>
      <w:r>
        <w:rPr>
          <w:rFonts w:hint="eastAsia" w:ascii="仿宋" w:hAnsi="仿宋" w:eastAsia="仿宋" w:cs="宋体"/>
          <w:kern w:val="2"/>
          <w:sz w:val="24"/>
          <w:szCs w:val="24"/>
          <w:highlight w:val="none"/>
        </w:rPr>
        <w:t>ml</w:t>
      </w:r>
      <w:r>
        <w:rPr>
          <w:rFonts w:ascii="仿宋" w:hAnsi="仿宋" w:eastAsia="仿宋" w:cs="宋体"/>
          <w:kern w:val="2"/>
          <w:sz w:val="24"/>
          <w:szCs w:val="24"/>
          <w:highlight w:val="none"/>
        </w:rPr>
        <w:t>。 将采到的样品充分混合后，等量分装于两个清洁、干燥的</w:t>
      </w:r>
      <w:r>
        <w:rPr>
          <w:rFonts w:hint="eastAsia" w:ascii="仿宋" w:hAnsi="仿宋" w:eastAsia="仿宋" w:cs="宋体"/>
          <w:kern w:val="2"/>
          <w:sz w:val="24"/>
          <w:szCs w:val="24"/>
          <w:highlight w:val="none"/>
        </w:rPr>
        <w:t>取样</w:t>
      </w:r>
      <w:r>
        <w:rPr>
          <w:rFonts w:ascii="仿宋" w:hAnsi="仿宋" w:eastAsia="仿宋" w:cs="宋体"/>
          <w:kern w:val="2"/>
          <w:sz w:val="24"/>
          <w:szCs w:val="24"/>
          <w:highlight w:val="none"/>
        </w:rPr>
        <w:t>瓶中，密封并贴上标签，标签上应注明产品名称、批号和取样日期，一瓶作检验用，另一瓶保留备查，保留期为一年</w:t>
      </w:r>
      <w:r>
        <w:rPr>
          <w:rFonts w:ascii="Times New Roman"/>
          <w:color w:val="000000"/>
          <w:highlight w:val="none"/>
        </w:rPr>
        <w:t>。</w:t>
      </w:r>
    </w:p>
    <w:p>
      <w:pPr>
        <w:pStyle w:val="6"/>
        <w:tabs>
          <w:tab w:val="left" w:pos="840"/>
        </w:tabs>
        <w:spacing w:line="360" w:lineRule="auto"/>
        <w:rPr>
          <w:rFonts w:ascii="Times New Roman"/>
          <w:color w:val="000000"/>
          <w:highlight w:val="none"/>
        </w:rPr>
      </w:pPr>
      <w:r>
        <w:rPr>
          <w:rFonts w:hint="eastAsia" w:ascii="Times New Roman"/>
          <w:color w:val="000000"/>
          <w:highlight w:val="none"/>
        </w:rPr>
        <w:t>判定规则</w:t>
      </w:r>
    </w:p>
    <w:p>
      <w:pPr>
        <w:pStyle w:val="7"/>
        <w:spacing w:line="360" w:lineRule="auto"/>
        <w:ind w:firstLine="480"/>
        <w:rPr>
          <w:rFonts w:ascii="仿宋" w:hAnsi="仿宋" w:eastAsia="仿宋" w:cs="宋体"/>
          <w:kern w:val="2"/>
          <w:sz w:val="24"/>
          <w:szCs w:val="24"/>
          <w:highlight w:val="none"/>
        </w:rPr>
      </w:pPr>
      <w:r>
        <w:rPr>
          <w:rFonts w:hint="eastAsia" w:ascii="仿宋" w:hAnsi="仿宋" w:eastAsia="仿宋" w:cs="宋体"/>
          <w:kern w:val="2"/>
          <w:sz w:val="24"/>
          <w:szCs w:val="24"/>
          <w:highlight w:val="none"/>
        </w:rPr>
        <w:t>如检验结果中有一项指标不符合本标准规定，则该批产品视为不合格。</w:t>
      </w:r>
    </w:p>
    <w:p>
      <w:pPr>
        <w:pStyle w:val="7"/>
        <w:spacing w:line="360" w:lineRule="auto"/>
        <w:ind w:firstLine="480"/>
        <w:rPr>
          <w:rFonts w:ascii="仿宋" w:hAnsi="仿宋" w:eastAsia="仿宋" w:cs="宋体"/>
          <w:kern w:val="2"/>
          <w:sz w:val="24"/>
          <w:szCs w:val="24"/>
          <w:highlight w:val="none"/>
        </w:rPr>
      </w:pPr>
      <w:r>
        <w:rPr>
          <w:rFonts w:hint="eastAsia" w:ascii="仿宋" w:hAnsi="仿宋" w:eastAsia="仿宋" w:cs="宋体"/>
          <w:kern w:val="2"/>
          <w:sz w:val="24"/>
          <w:szCs w:val="24"/>
          <w:highlight w:val="none"/>
        </w:rPr>
        <w:t>产品由生产厂质量检验部门按照表1中各项技术指标进行检验，检验合格后出具检验报告。检验合格的原料方可入厂。</w:t>
      </w:r>
    </w:p>
    <w:p>
      <w:pPr>
        <w:pStyle w:val="7"/>
        <w:spacing w:line="360" w:lineRule="auto"/>
        <w:ind w:firstLine="480"/>
        <w:rPr>
          <w:rFonts w:ascii="Times New Roman"/>
          <w:color w:val="000000"/>
          <w:highlight w:val="none"/>
        </w:rPr>
      </w:pPr>
      <w:r>
        <w:rPr>
          <w:rFonts w:hint="eastAsia" w:ascii="仿宋" w:hAnsi="仿宋" w:eastAsia="仿宋" w:cs="宋体"/>
          <w:kern w:val="2"/>
          <w:sz w:val="24"/>
          <w:szCs w:val="24"/>
          <w:highlight w:val="none"/>
        </w:rPr>
        <w:t>当供需双方对产品质量发生异议时， 由仲裁单位按照本标准规定的检验方法进行仲裁检验。</w:t>
      </w:r>
    </w:p>
    <w:p>
      <w:pPr>
        <w:spacing w:before="156" w:beforeLines="50" w:after="156" w:afterLines="50"/>
        <w:jc w:val="left"/>
        <w:rPr>
          <w:rFonts w:ascii="黑体" w:hAnsi="黑体" w:eastAsia="黑体" w:cs="宋体"/>
          <w:sz w:val="28"/>
          <w:szCs w:val="28"/>
          <w:highlight w:val="none"/>
        </w:rPr>
      </w:pPr>
      <w:r>
        <w:rPr>
          <w:rFonts w:hint="eastAsia" w:ascii="黑体" w:hAnsi="黑体" w:eastAsia="黑体" w:cs="宋体"/>
          <w:sz w:val="28"/>
          <w:szCs w:val="28"/>
          <w:highlight w:val="none"/>
        </w:rPr>
        <w:t>二、产品的包装要求</w:t>
      </w:r>
      <w:r>
        <w:rPr>
          <w:rFonts w:ascii="黑体" w:hAnsi="黑体" w:eastAsia="黑体" w:cs="宋体"/>
          <w:sz w:val="28"/>
          <w:szCs w:val="28"/>
          <w:highlight w:val="none"/>
        </w:rPr>
        <w:tab/>
      </w:r>
    </w:p>
    <w:p>
      <w:pPr>
        <w:pStyle w:val="8"/>
        <w:numPr>
          <w:ilvl w:val="0"/>
          <w:numId w:val="0"/>
        </w:numPr>
        <w:spacing w:line="360" w:lineRule="auto"/>
        <w:rPr>
          <w:rFonts w:ascii="仿宋" w:hAnsi="仿宋" w:eastAsia="仿宋"/>
          <w:sz w:val="24"/>
          <w:szCs w:val="24"/>
          <w:highlight w:val="none"/>
        </w:rPr>
      </w:pPr>
      <w:r>
        <w:rPr>
          <w:rFonts w:hint="eastAsia" w:ascii="仿宋" w:hAnsi="仿宋" w:eastAsia="仿宋"/>
          <w:sz w:val="24"/>
          <w:szCs w:val="24"/>
          <w:highlight w:val="none"/>
        </w:rPr>
        <w:t>1.包装物的要求</w:t>
      </w:r>
    </w:p>
    <w:p>
      <w:pPr>
        <w:pStyle w:val="8"/>
        <w:numPr>
          <w:ilvl w:val="0"/>
          <w:numId w:val="0"/>
        </w:num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产品用</w:t>
      </w:r>
      <w:r>
        <w:rPr>
          <w:rFonts w:hint="eastAsia" w:ascii="仿宋" w:hAnsi="仿宋" w:eastAsia="仿宋"/>
          <w:sz w:val="24"/>
          <w:szCs w:val="24"/>
          <w:highlight w:val="none"/>
        </w:rPr>
        <w:t>全新的聚乙烯塑料桶</w:t>
      </w:r>
      <w:r>
        <w:rPr>
          <w:rFonts w:ascii="仿宋" w:hAnsi="仿宋" w:eastAsia="仿宋"/>
          <w:sz w:val="24"/>
          <w:szCs w:val="24"/>
          <w:highlight w:val="none"/>
        </w:rPr>
        <w:t>包装，应达到密封和不易破损的要求，每桶</w:t>
      </w:r>
      <w:r>
        <w:rPr>
          <w:rFonts w:hint="eastAsia" w:ascii="仿宋" w:hAnsi="仿宋" w:eastAsia="仿宋"/>
          <w:sz w:val="24"/>
          <w:szCs w:val="24"/>
          <w:highlight w:val="none"/>
        </w:rPr>
        <w:t>200Kg，</w:t>
      </w:r>
      <w:r>
        <w:rPr>
          <w:rFonts w:ascii="仿宋" w:hAnsi="仿宋" w:eastAsia="仿宋"/>
          <w:sz w:val="24"/>
          <w:szCs w:val="24"/>
          <w:highlight w:val="none"/>
        </w:rPr>
        <w:t>其偏差应不超过±1%。</w:t>
      </w:r>
    </w:p>
    <w:p>
      <w:pPr>
        <w:pStyle w:val="8"/>
        <w:numPr>
          <w:ilvl w:val="0"/>
          <w:numId w:val="0"/>
        </w:numPr>
        <w:spacing w:line="360" w:lineRule="auto"/>
        <w:rPr>
          <w:rFonts w:ascii="仿宋" w:hAnsi="仿宋" w:eastAsia="仿宋"/>
          <w:sz w:val="24"/>
          <w:szCs w:val="24"/>
          <w:highlight w:val="none"/>
        </w:rPr>
      </w:pPr>
      <w:r>
        <w:rPr>
          <w:rFonts w:hint="eastAsia" w:ascii="仿宋" w:hAnsi="仿宋" w:eastAsia="仿宋"/>
          <w:sz w:val="24"/>
          <w:szCs w:val="24"/>
          <w:highlight w:val="none"/>
        </w:rPr>
        <w:t>2.产品标志的要求</w:t>
      </w:r>
    </w:p>
    <w:p>
      <w:pPr>
        <w:pStyle w:val="8"/>
        <w:numPr>
          <w:ilvl w:val="0"/>
          <w:numId w:val="0"/>
        </w:num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产品包装袋</w:t>
      </w:r>
      <w:r>
        <w:rPr>
          <w:rFonts w:ascii="仿宋" w:hAnsi="仿宋" w:eastAsia="仿宋"/>
          <w:sz w:val="24"/>
          <w:szCs w:val="24"/>
          <w:highlight w:val="none"/>
        </w:rPr>
        <w:t>要在</w:t>
      </w:r>
      <w:r>
        <w:rPr>
          <w:rFonts w:hint="eastAsia" w:ascii="仿宋" w:hAnsi="仿宋" w:eastAsia="仿宋"/>
          <w:sz w:val="24"/>
          <w:szCs w:val="24"/>
          <w:highlight w:val="none"/>
        </w:rPr>
        <w:t>上部</w:t>
      </w:r>
      <w:r>
        <w:rPr>
          <w:rFonts w:ascii="仿宋" w:hAnsi="仿宋" w:eastAsia="仿宋"/>
          <w:sz w:val="24"/>
          <w:szCs w:val="24"/>
          <w:highlight w:val="none"/>
        </w:rPr>
        <w:t>位置粘贴产品合格证，并标有产品名称、型号、批号、品级、净重量、商标、标准、编号、生产日期、生产厂名、厂址。</w:t>
      </w:r>
    </w:p>
    <w:p>
      <w:pPr>
        <w:spacing w:before="156" w:beforeLines="50" w:after="156" w:afterLines="50"/>
        <w:jc w:val="left"/>
        <w:rPr>
          <w:rFonts w:ascii="黑体" w:hAnsi="黑体" w:eastAsia="黑体" w:cs="宋体"/>
          <w:sz w:val="28"/>
          <w:szCs w:val="28"/>
          <w:highlight w:val="none"/>
        </w:rPr>
      </w:pPr>
      <w:r>
        <w:rPr>
          <w:rFonts w:hint="eastAsia" w:ascii="黑体" w:hAnsi="黑体" w:eastAsia="黑体" w:cs="宋体"/>
          <w:sz w:val="28"/>
          <w:szCs w:val="28"/>
          <w:highlight w:val="none"/>
        </w:rPr>
        <w:t>三、产品的售后服务方案</w:t>
      </w:r>
    </w:p>
    <w:p>
      <w:pPr>
        <w:pStyle w:val="8"/>
        <w:numPr>
          <w:ilvl w:val="0"/>
          <w:numId w:val="0"/>
        </w:num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因产品质量等售后问题，乙方24小时内响应，并以急用料供应模式按要求免费更换，以保证油田的生产正常进行。因质量问题导致无法正常使用的，甲方则依据相关管理规定上报油田公司相关管理部门。因质量问题造成严重后果，由乙方赔偿相关损失。</w:t>
      </w:r>
    </w:p>
    <w:p>
      <w:pPr>
        <w:spacing w:line="360" w:lineRule="auto"/>
        <w:ind w:firstLine="364" w:firstLineChars="152"/>
        <w:rPr>
          <w:rFonts w:hint="eastAsia" w:ascii="仿宋" w:hAnsi="仿宋" w:eastAsia="仿宋"/>
          <w:kern w:val="0"/>
          <w:sz w:val="24"/>
          <w:highlight w:val="none"/>
        </w:rPr>
      </w:pPr>
      <w:r>
        <w:rPr>
          <w:rFonts w:hint="eastAsia" w:ascii="仿宋" w:hAnsi="仿宋" w:eastAsia="仿宋"/>
          <w:sz w:val="24"/>
          <w:szCs w:val="24"/>
          <w:highlight w:val="none"/>
        </w:rPr>
        <w:t xml:space="preserve">2. </w:t>
      </w:r>
      <w:r>
        <w:rPr>
          <w:rFonts w:hint="eastAsia" w:ascii="仿宋" w:hAnsi="仿宋" w:eastAsia="仿宋" w:cs="宋体"/>
          <w:sz w:val="24"/>
          <w:szCs w:val="24"/>
          <w:highlight w:val="none"/>
        </w:rPr>
        <w:t>依据</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青海油田公司石油专用化工产品管理办法</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产品检测、质量控制条款，供应商入库前产品取样检测不合格，由诚信服务公司通知供应商进行换货处理，并在规定时间内完成换货，换货后再次检测不合格情况，应及时取消本产品在青海油田公司的供货。同一供应商若出现所供应产品当年不合格数量超过两种或所供同一种产品连续两年出现不合格情况之一，则清退出青海油田公司市场。</w:t>
      </w:r>
      <w:r>
        <w:rPr>
          <w:rFonts w:hint="eastAsia" w:ascii="仿宋" w:hAnsi="仿宋" w:eastAsia="仿宋"/>
          <w:kern w:val="0"/>
          <w:sz w:val="24"/>
          <w:highlight w:val="non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E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Calibr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章标题"/>
    <w:next w:val="1"/>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6">
    <w:name w:val="一级条标题"/>
    <w:next w:val="7"/>
    <w:qFormat/>
    <w:uiPriority w:val="99"/>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8">
    <w:name w:val="二级无"/>
    <w:basedOn w:val="9"/>
    <w:qFormat/>
    <w:uiPriority w:val="0"/>
    <w:pPr>
      <w:spacing w:before="0" w:beforeLines="0" w:after="0" w:afterLines="0"/>
      <w:ind w:left="0" w:firstLine="0"/>
    </w:pPr>
    <w:rPr>
      <w:rFonts w:ascii="宋体" w:eastAsia="宋体"/>
    </w:rPr>
  </w:style>
  <w:style w:type="paragraph" w:customStyle="1" w:styleId="9">
    <w:name w:val="二级条标题"/>
    <w:basedOn w:val="6"/>
    <w:next w:val="7"/>
    <w:qFormat/>
    <w:uiPriority w:val="99"/>
    <w:pPr>
      <w:numPr>
        <w:ilvl w:val="2"/>
        <w:numId w:val="1"/>
      </w:numPr>
      <w:spacing w:before="50" w:after="50"/>
      <w:outlineLvl w:val="3"/>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滕洪波</cp:lastModifiedBy>
  <dcterms:modified xsi:type="dcterms:W3CDTF">2020-09-28T09:05:18Z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