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211" w:rsidRDefault="00661211" w:rsidP="00661211">
      <w:pPr>
        <w:pStyle w:val="1"/>
      </w:pPr>
      <w:r>
        <w:rPr>
          <w:rFonts w:hint="eastAsia"/>
        </w:rPr>
        <w:t>技术要求</w:t>
      </w:r>
    </w:p>
    <w:p w:rsidR="00661211" w:rsidRDefault="00661211" w:rsidP="00661211">
      <w:pPr>
        <w:spacing w:line="360" w:lineRule="auto"/>
        <w:rPr>
          <w:rFonts w:hint="eastAsia"/>
        </w:rPr>
      </w:pPr>
    </w:p>
    <w:p w:rsidR="00661211" w:rsidRDefault="00661211" w:rsidP="00661211">
      <w:pPr>
        <w:widowControl/>
        <w:spacing w:line="360" w:lineRule="auto"/>
        <w:ind w:firstLineChars="200" w:firstLine="480"/>
        <w:rPr>
          <w:rFonts w:ascii="等线" w:eastAsia="等线" w:hAnsi="等线" w:cs="等线"/>
          <w:color w:val="000000"/>
          <w:kern w:val="0"/>
          <w:sz w:val="24"/>
        </w:rPr>
      </w:pPr>
      <w:r>
        <w:rPr>
          <w:rFonts w:ascii="等线" w:eastAsia="等线" w:hAnsi="等线" w:cs="等线" w:hint="eastAsia"/>
          <w:color w:val="000000"/>
          <w:kern w:val="0"/>
          <w:sz w:val="24"/>
        </w:rPr>
        <w:t>1、HT40S降解剂、复合添加剂是专用于HT40S牌号的2种颗粒添加剂，添加该助剂不需添加其它助剂。确保在1吨聚丙烯的降解剂加入量≯7000ppm、抗氧剂加入量≯1750ppm前提下，由该复合添加剂所生产HT40S的质量指标达到《中国石油天然气股份有限公司呼和浩特石化分公司企业标准》Q/SYTS 0010—2019要求。</w:t>
      </w:r>
    </w:p>
    <w:p w:rsidR="00661211" w:rsidRDefault="00661211" w:rsidP="00661211">
      <w:pPr>
        <w:widowControl/>
        <w:tabs>
          <w:tab w:val="left" w:pos="0"/>
        </w:tabs>
        <w:spacing w:line="360" w:lineRule="auto"/>
        <w:ind w:firstLineChars="200" w:firstLine="480"/>
        <w:jc w:val="left"/>
        <w:rPr>
          <w:rFonts w:ascii="等线" w:eastAsia="等线" w:hAnsi="等线" w:cs="等线"/>
          <w:color w:val="000000"/>
          <w:kern w:val="0"/>
          <w:sz w:val="24"/>
        </w:rPr>
      </w:pPr>
      <w:r>
        <w:rPr>
          <w:rFonts w:ascii="等线" w:eastAsia="等线" w:hAnsi="等线" w:cs="等线" w:hint="eastAsia"/>
          <w:color w:val="000000"/>
          <w:kern w:val="0"/>
          <w:sz w:val="24"/>
        </w:rPr>
        <w:t>2、在聚丙烯粉料熔体质量流动速率为2.4-4.0 g/10min(2.16kg， 230℃)，聚丙烯目标产品熔体质量流动速率为 35-40 g/10min(2.16kg， 230℃) 条件下， 降解剂消耗≯7000ppm/吨聚丙烯，抗氧剂消耗≯1750ppm/吨聚丙烯。</w:t>
      </w:r>
    </w:p>
    <w:p w:rsidR="00661211" w:rsidRDefault="00661211" w:rsidP="00661211">
      <w:pPr>
        <w:widowControl/>
        <w:tabs>
          <w:tab w:val="left" w:pos="0"/>
        </w:tabs>
        <w:spacing w:line="360" w:lineRule="auto"/>
        <w:jc w:val="center"/>
        <w:rPr>
          <w:rFonts w:ascii="等线" w:eastAsia="等线" w:hAnsi="等线" w:cs="等线"/>
          <w:sz w:val="24"/>
        </w:rPr>
      </w:pPr>
      <w:r>
        <w:rPr>
          <w:rFonts w:ascii="等线" w:eastAsia="等线" w:hAnsi="等线" w:cs="等线" w:hint="eastAsia"/>
          <w:bCs/>
          <w:sz w:val="24"/>
        </w:rPr>
        <w:t>表1 HT40S</w:t>
      </w:r>
      <w:r>
        <w:rPr>
          <w:rFonts w:ascii="等线" w:eastAsia="等线" w:hAnsi="等线" w:cs="等线" w:hint="eastAsia"/>
          <w:sz w:val="24"/>
        </w:rPr>
        <w:t>质量指标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945"/>
        <w:gridCol w:w="1914"/>
        <w:gridCol w:w="1914"/>
      </w:tblGrid>
      <w:tr w:rsidR="00661211" w:rsidTr="00073BB4">
        <w:trPr>
          <w:trHeight w:val="366"/>
          <w:jc w:val="center"/>
        </w:trPr>
        <w:tc>
          <w:tcPr>
            <w:tcW w:w="4692" w:type="dxa"/>
            <w:gridSpan w:val="2"/>
            <w:tcMar>
              <w:left w:w="28" w:type="dxa"/>
              <w:right w:w="28" w:type="dxa"/>
            </w:tcMar>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项      目</w:t>
            </w:r>
          </w:p>
        </w:tc>
        <w:tc>
          <w:tcPr>
            <w:tcW w:w="1914" w:type="dxa"/>
            <w:vAlign w:val="center"/>
          </w:tcPr>
          <w:p w:rsidR="00661211" w:rsidRDefault="00661211" w:rsidP="00073BB4">
            <w:pPr>
              <w:widowControl/>
              <w:spacing w:line="360" w:lineRule="auto"/>
              <w:jc w:val="center"/>
              <w:rPr>
                <w:rFonts w:ascii="等线" w:eastAsia="等线" w:hAnsi="等线" w:cs="等线"/>
                <w:sz w:val="18"/>
                <w:szCs w:val="18"/>
              </w:rPr>
            </w:pPr>
            <w:r>
              <w:rPr>
                <w:rFonts w:ascii="等线" w:eastAsia="等线" w:hAnsi="等线" w:cs="等线" w:hint="eastAsia"/>
                <w:sz w:val="18"/>
                <w:szCs w:val="18"/>
              </w:rPr>
              <w:t>技术指标</w:t>
            </w:r>
          </w:p>
        </w:tc>
        <w:tc>
          <w:tcPr>
            <w:tcW w:w="1914"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试验方法</w:t>
            </w:r>
          </w:p>
        </w:tc>
      </w:tr>
      <w:tr w:rsidR="00661211" w:rsidTr="00073BB4">
        <w:trPr>
          <w:trHeight w:val="142"/>
          <w:jc w:val="center"/>
        </w:trPr>
        <w:tc>
          <w:tcPr>
            <w:tcW w:w="747" w:type="dxa"/>
            <w:vMerge w:val="restart"/>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颗粒外观</w:t>
            </w:r>
          </w:p>
        </w:tc>
        <w:tc>
          <w:tcPr>
            <w:tcW w:w="3945" w:type="dxa"/>
            <w:vAlign w:val="center"/>
          </w:tcPr>
          <w:p w:rsidR="00661211" w:rsidRDefault="00661211" w:rsidP="00073BB4">
            <w:pPr>
              <w:spacing w:line="360" w:lineRule="auto"/>
              <w:rPr>
                <w:rFonts w:ascii="等线" w:eastAsia="等线" w:hAnsi="等线" w:cs="等线"/>
                <w:sz w:val="18"/>
                <w:szCs w:val="18"/>
              </w:rPr>
            </w:pPr>
            <w:r>
              <w:rPr>
                <w:rFonts w:ascii="等线" w:eastAsia="等线" w:hAnsi="等线" w:cs="等线" w:hint="eastAsia"/>
                <w:sz w:val="18"/>
                <w:szCs w:val="18"/>
              </w:rPr>
              <w:t>黑粒</w:t>
            </w:r>
          </w:p>
        </w:tc>
        <w:tc>
          <w:tcPr>
            <w:tcW w:w="1914" w:type="dxa"/>
            <w:tcMar>
              <w:left w:w="28" w:type="dxa"/>
              <w:right w:w="28" w:type="dxa"/>
            </w:tcMar>
            <w:vAlign w:val="center"/>
          </w:tcPr>
          <w:p w:rsidR="00661211" w:rsidRDefault="00661211" w:rsidP="00073BB4">
            <w:pPr>
              <w:widowControl/>
              <w:spacing w:line="360" w:lineRule="auto"/>
              <w:jc w:val="center"/>
              <w:rPr>
                <w:rFonts w:ascii="等线" w:eastAsia="等线" w:hAnsi="等线" w:cs="等线"/>
                <w:sz w:val="18"/>
                <w:szCs w:val="18"/>
              </w:rPr>
            </w:pPr>
            <w:r>
              <w:rPr>
                <w:rFonts w:ascii="等线" w:eastAsia="等线" w:hAnsi="等线" w:cs="等线" w:hint="eastAsia"/>
                <w:sz w:val="18"/>
                <w:szCs w:val="18"/>
              </w:rPr>
              <w:t>无</w:t>
            </w:r>
          </w:p>
        </w:tc>
        <w:tc>
          <w:tcPr>
            <w:tcW w:w="1914" w:type="dxa"/>
            <w:vMerge w:val="restart"/>
            <w:tcBorders>
              <w:top w:val="nil"/>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SH/T 1541</w:t>
            </w:r>
          </w:p>
        </w:tc>
      </w:tr>
      <w:tr w:rsidR="00661211" w:rsidTr="00073BB4">
        <w:trPr>
          <w:trHeight w:val="215"/>
          <w:jc w:val="center"/>
        </w:trPr>
        <w:tc>
          <w:tcPr>
            <w:tcW w:w="747" w:type="dxa"/>
            <w:vMerge/>
            <w:vAlign w:val="center"/>
          </w:tcPr>
          <w:p w:rsidR="00661211" w:rsidRDefault="00661211" w:rsidP="00073BB4">
            <w:pPr>
              <w:spacing w:line="360" w:lineRule="auto"/>
              <w:jc w:val="center"/>
              <w:rPr>
                <w:rFonts w:ascii="等线" w:eastAsia="等线" w:hAnsi="等线" w:cs="等线"/>
                <w:sz w:val="18"/>
                <w:szCs w:val="18"/>
              </w:rPr>
            </w:pPr>
          </w:p>
        </w:tc>
        <w:tc>
          <w:tcPr>
            <w:tcW w:w="3945" w:type="dxa"/>
            <w:vAlign w:val="center"/>
          </w:tcPr>
          <w:p w:rsidR="00661211" w:rsidRDefault="00661211" w:rsidP="00073BB4">
            <w:pPr>
              <w:spacing w:line="360" w:lineRule="auto"/>
              <w:rPr>
                <w:rFonts w:ascii="等线" w:eastAsia="等线" w:hAnsi="等线" w:cs="等线"/>
                <w:sz w:val="18"/>
                <w:szCs w:val="18"/>
              </w:rPr>
            </w:pPr>
            <w:r>
              <w:rPr>
                <w:rFonts w:ascii="等线" w:eastAsia="等线" w:hAnsi="等线" w:cs="等线" w:hint="eastAsia"/>
                <w:sz w:val="18"/>
                <w:szCs w:val="18"/>
              </w:rPr>
              <w:t>色粒，个/kg               ≤</w:t>
            </w:r>
          </w:p>
        </w:tc>
        <w:tc>
          <w:tcPr>
            <w:tcW w:w="1914" w:type="dxa"/>
            <w:tcMar>
              <w:left w:w="28" w:type="dxa"/>
              <w:right w:w="28" w:type="dxa"/>
            </w:tcMar>
            <w:vAlign w:val="center"/>
          </w:tcPr>
          <w:p w:rsidR="00661211" w:rsidRDefault="00661211" w:rsidP="00073BB4">
            <w:pPr>
              <w:widowControl/>
              <w:spacing w:line="360" w:lineRule="auto"/>
              <w:jc w:val="center"/>
              <w:rPr>
                <w:rFonts w:ascii="等线" w:eastAsia="等线" w:hAnsi="等线" w:cs="等线"/>
                <w:sz w:val="18"/>
                <w:szCs w:val="18"/>
                <w:highlight w:val="lightGray"/>
              </w:rPr>
            </w:pPr>
            <w:r>
              <w:rPr>
                <w:rFonts w:ascii="等线" w:eastAsia="等线" w:hAnsi="等线" w:cs="等线" w:hint="eastAsia"/>
                <w:sz w:val="18"/>
                <w:szCs w:val="18"/>
              </w:rPr>
              <w:t>5</w:t>
            </w:r>
          </w:p>
        </w:tc>
        <w:tc>
          <w:tcPr>
            <w:tcW w:w="1914" w:type="dxa"/>
            <w:vMerge/>
            <w:vAlign w:val="center"/>
          </w:tcPr>
          <w:p w:rsidR="00661211" w:rsidRDefault="00661211" w:rsidP="00073BB4">
            <w:pPr>
              <w:spacing w:line="360" w:lineRule="auto"/>
              <w:jc w:val="center"/>
              <w:rPr>
                <w:rFonts w:ascii="等线" w:eastAsia="等线" w:hAnsi="等线" w:cs="等线"/>
                <w:sz w:val="18"/>
                <w:szCs w:val="18"/>
              </w:rPr>
            </w:pPr>
          </w:p>
        </w:tc>
      </w:tr>
      <w:tr w:rsidR="00661211" w:rsidTr="00073BB4">
        <w:trPr>
          <w:trHeight w:val="275"/>
          <w:jc w:val="center"/>
        </w:trPr>
        <w:tc>
          <w:tcPr>
            <w:tcW w:w="747" w:type="dxa"/>
            <w:vMerge/>
            <w:vAlign w:val="center"/>
          </w:tcPr>
          <w:p w:rsidR="00661211" w:rsidRDefault="00661211" w:rsidP="00073BB4">
            <w:pPr>
              <w:spacing w:line="360" w:lineRule="auto"/>
              <w:jc w:val="center"/>
              <w:rPr>
                <w:rFonts w:ascii="等线" w:eastAsia="等线" w:hAnsi="等线" w:cs="等线"/>
                <w:sz w:val="18"/>
                <w:szCs w:val="18"/>
              </w:rPr>
            </w:pPr>
          </w:p>
        </w:tc>
        <w:tc>
          <w:tcPr>
            <w:tcW w:w="3945" w:type="dxa"/>
            <w:vAlign w:val="center"/>
          </w:tcPr>
          <w:p w:rsidR="00661211" w:rsidRDefault="00661211" w:rsidP="00073BB4">
            <w:pPr>
              <w:spacing w:line="360" w:lineRule="auto"/>
              <w:rPr>
                <w:rFonts w:ascii="等线" w:eastAsia="等线" w:hAnsi="等线" w:cs="等线"/>
                <w:sz w:val="18"/>
                <w:szCs w:val="18"/>
              </w:rPr>
            </w:pPr>
            <w:r>
              <w:rPr>
                <w:rFonts w:ascii="等线" w:eastAsia="等线" w:hAnsi="等线" w:cs="等线" w:hint="eastAsia"/>
                <w:sz w:val="18"/>
                <w:szCs w:val="18"/>
              </w:rPr>
              <w:t>大粒和小粒，g/kg          ≤</w:t>
            </w:r>
          </w:p>
        </w:tc>
        <w:tc>
          <w:tcPr>
            <w:tcW w:w="1914" w:type="dxa"/>
            <w:tcMar>
              <w:left w:w="28" w:type="dxa"/>
              <w:right w:w="28" w:type="dxa"/>
            </w:tcMar>
            <w:vAlign w:val="center"/>
          </w:tcPr>
          <w:p w:rsidR="00661211" w:rsidRDefault="00661211" w:rsidP="00073BB4">
            <w:pPr>
              <w:widowControl/>
              <w:spacing w:line="360" w:lineRule="auto"/>
              <w:jc w:val="center"/>
              <w:rPr>
                <w:rFonts w:ascii="等线" w:eastAsia="等线" w:hAnsi="等线" w:cs="等线"/>
                <w:sz w:val="18"/>
                <w:szCs w:val="18"/>
                <w:highlight w:val="lightGray"/>
              </w:rPr>
            </w:pPr>
            <w:r>
              <w:rPr>
                <w:rFonts w:ascii="等线" w:eastAsia="等线" w:hAnsi="等线" w:cs="等线" w:hint="eastAsia"/>
                <w:sz w:val="18"/>
                <w:szCs w:val="18"/>
              </w:rPr>
              <w:t>10</w:t>
            </w:r>
          </w:p>
        </w:tc>
        <w:tc>
          <w:tcPr>
            <w:tcW w:w="1914" w:type="dxa"/>
            <w:vMerge/>
            <w:vAlign w:val="center"/>
          </w:tcPr>
          <w:p w:rsidR="00661211" w:rsidRDefault="00661211" w:rsidP="00073BB4">
            <w:pPr>
              <w:spacing w:line="360" w:lineRule="auto"/>
              <w:jc w:val="center"/>
              <w:rPr>
                <w:rFonts w:ascii="等线" w:eastAsia="等线" w:hAnsi="等线" w:cs="等线"/>
                <w:sz w:val="18"/>
                <w:szCs w:val="18"/>
              </w:rPr>
            </w:pPr>
          </w:p>
        </w:tc>
      </w:tr>
      <w:tr w:rsidR="00661211" w:rsidTr="00073BB4">
        <w:trPr>
          <w:trHeight w:val="275"/>
          <w:jc w:val="center"/>
        </w:trPr>
        <w:tc>
          <w:tcPr>
            <w:tcW w:w="747" w:type="dxa"/>
            <w:vMerge/>
            <w:vAlign w:val="center"/>
          </w:tcPr>
          <w:p w:rsidR="00661211" w:rsidRDefault="00661211" w:rsidP="00073BB4">
            <w:pPr>
              <w:spacing w:line="360" w:lineRule="auto"/>
              <w:jc w:val="center"/>
              <w:rPr>
                <w:rFonts w:ascii="等线" w:eastAsia="等线" w:hAnsi="等线" w:cs="等线"/>
                <w:sz w:val="18"/>
                <w:szCs w:val="18"/>
              </w:rPr>
            </w:pPr>
          </w:p>
        </w:tc>
        <w:tc>
          <w:tcPr>
            <w:tcW w:w="3945" w:type="dxa"/>
            <w:vAlign w:val="center"/>
          </w:tcPr>
          <w:p w:rsidR="00661211" w:rsidRDefault="00661211" w:rsidP="00073BB4">
            <w:pPr>
              <w:spacing w:line="360" w:lineRule="auto"/>
              <w:rPr>
                <w:rFonts w:ascii="等线" w:eastAsia="等线" w:hAnsi="等线" w:cs="等线"/>
                <w:sz w:val="18"/>
                <w:szCs w:val="18"/>
              </w:rPr>
            </w:pPr>
            <w:r>
              <w:rPr>
                <w:rFonts w:ascii="等线" w:eastAsia="等线" w:hAnsi="等线" w:cs="等线" w:hint="eastAsia"/>
                <w:sz w:val="18"/>
                <w:szCs w:val="18"/>
              </w:rPr>
              <w:t>蛇皮粒和拖尾粒，个/kg     ≤</w:t>
            </w:r>
          </w:p>
        </w:tc>
        <w:tc>
          <w:tcPr>
            <w:tcW w:w="1914" w:type="dxa"/>
            <w:tcMar>
              <w:left w:w="28" w:type="dxa"/>
              <w:right w:w="28" w:type="dxa"/>
            </w:tcMar>
            <w:vAlign w:val="center"/>
          </w:tcPr>
          <w:p w:rsidR="00661211" w:rsidRDefault="00661211" w:rsidP="00073BB4">
            <w:pPr>
              <w:widowControl/>
              <w:spacing w:line="360" w:lineRule="auto"/>
              <w:jc w:val="center"/>
              <w:rPr>
                <w:rFonts w:ascii="等线" w:eastAsia="等线" w:hAnsi="等线" w:cs="等线"/>
                <w:sz w:val="18"/>
                <w:szCs w:val="18"/>
                <w:highlight w:val="lightGray"/>
              </w:rPr>
            </w:pPr>
            <w:r>
              <w:rPr>
                <w:rFonts w:ascii="等线" w:eastAsia="等线" w:hAnsi="等线" w:cs="等线" w:hint="eastAsia"/>
                <w:sz w:val="18"/>
                <w:szCs w:val="18"/>
              </w:rPr>
              <w:t>15</w:t>
            </w:r>
          </w:p>
        </w:tc>
        <w:tc>
          <w:tcPr>
            <w:tcW w:w="1914" w:type="dxa"/>
            <w:vMerge/>
            <w:vAlign w:val="center"/>
          </w:tcPr>
          <w:p w:rsidR="00661211" w:rsidRDefault="00661211" w:rsidP="00073BB4">
            <w:pPr>
              <w:spacing w:line="360" w:lineRule="auto"/>
              <w:jc w:val="center"/>
              <w:rPr>
                <w:rFonts w:ascii="等线" w:eastAsia="等线" w:hAnsi="等线" w:cs="等线"/>
                <w:sz w:val="18"/>
                <w:szCs w:val="18"/>
              </w:rPr>
            </w:pPr>
          </w:p>
        </w:tc>
      </w:tr>
      <w:tr w:rsidR="00661211" w:rsidTr="00073BB4">
        <w:trPr>
          <w:trHeight w:val="297"/>
          <w:jc w:val="center"/>
        </w:trPr>
        <w:tc>
          <w:tcPr>
            <w:tcW w:w="4692" w:type="dxa"/>
            <w:gridSpan w:val="2"/>
            <w:vAlign w:val="center"/>
          </w:tcPr>
          <w:p w:rsidR="00661211" w:rsidRDefault="00661211" w:rsidP="00073BB4">
            <w:pPr>
              <w:spacing w:line="360" w:lineRule="auto"/>
              <w:rPr>
                <w:rFonts w:ascii="等线" w:eastAsia="等线" w:hAnsi="等线" w:cs="等线"/>
                <w:sz w:val="18"/>
                <w:szCs w:val="18"/>
              </w:rPr>
            </w:pPr>
            <w:r>
              <w:rPr>
                <w:rFonts w:ascii="等线" w:eastAsia="等线" w:hAnsi="等线" w:cs="等线" w:hint="eastAsia"/>
                <w:sz w:val="18"/>
                <w:szCs w:val="18"/>
              </w:rPr>
              <w:t>熔体质量流动速率，g/10min</w:t>
            </w:r>
          </w:p>
        </w:tc>
        <w:tc>
          <w:tcPr>
            <w:tcW w:w="1914" w:type="dxa"/>
            <w:tcMar>
              <w:left w:w="28" w:type="dxa"/>
              <w:right w:w="28" w:type="dxa"/>
            </w:tcMar>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35 ~ 40</w:t>
            </w:r>
          </w:p>
        </w:tc>
        <w:tc>
          <w:tcPr>
            <w:tcW w:w="1914"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GB/T 3682</w:t>
            </w:r>
          </w:p>
        </w:tc>
      </w:tr>
      <w:tr w:rsidR="00661211" w:rsidTr="00073BB4">
        <w:trPr>
          <w:trHeight w:val="315"/>
          <w:jc w:val="center"/>
        </w:trPr>
        <w:tc>
          <w:tcPr>
            <w:tcW w:w="4692" w:type="dxa"/>
            <w:gridSpan w:val="2"/>
            <w:vAlign w:val="center"/>
          </w:tcPr>
          <w:p w:rsidR="00661211" w:rsidRDefault="00661211" w:rsidP="00073BB4">
            <w:pPr>
              <w:spacing w:line="360" w:lineRule="auto"/>
              <w:rPr>
                <w:rFonts w:ascii="等线" w:eastAsia="等线" w:hAnsi="等线" w:cs="等线"/>
                <w:sz w:val="18"/>
                <w:szCs w:val="18"/>
              </w:rPr>
            </w:pPr>
            <w:r>
              <w:rPr>
                <w:rFonts w:ascii="等线" w:eastAsia="等线" w:hAnsi="等线" w:cs="等线" w:hint="eastAsia"/>
                <w:sz w:val="18"/>
                <w:szCs w:val="18"/>
              </w:rPr>
              <w:t>等规指数，%                     ≥</w:t>
            </w:r>
          </w:p>
        </w:tc>
        <w:tc>
          <w:tcPr>
            <w:tcW w:w="1914" w:type="dxa"/>
            <w:tcMar>
              <w:left w:w="28" w:type="dxa"/>
              <w:right w:w="28" w:type="dxa"/>
            </w:tcMar>
            <w:vAlign w:val="center"/>
          </w:tcPr>
          <w:p w:rsidR="00661211" w:rsidRDefault="00661211" w:rsidP="00073BB4">
            <w:pPr>
              <w:widowControl/>
              <w:spacing w:line="360" w:lineRule="auto"/>
              <w:jc w:val="center"/>
              <w:rPr>
                <w:rFonts w:ascii="等线" w:eastAsia="等线" w:hAnsi="等线" w:cs="等线"/>
                <w:sz w:val="18"/>
                <w:szCs w:val="18"/>
              </w:rPr>
            </w:pPr>
            <w:r>
              <w:rPr>
                <w:rFonts w:ascii="等线" w:eastAsia="等线" w:hAnsi="等线" w:cs="等线" w:hint="eastAsia"/>
                <w:sz w:val="18"/>
                <w:szCs w:val="18"/>
              </w:rPr>
              <w:t>95.0</w:t>
            </w:r>
          </w:p>
        </w:tc>
        <w:tc>
          <w:tcPr>
            <w:tcW w:w="1914"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GB/T 2412</w:t>
            </w:r>
          </w:p>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SH/T 1774</w:t>
            </w:r>
          </w:p>
        </w:tc>
      </w:tr>
      <w:tr w:rsidR="00661211" w:rsidTr="00073BB4">
        <w:trPr>
          <w:trHeight w:val="291"/>
          <w:jc w:val="center"/>
        </w:trPr>
        <w:tc>
          <w:tcPr>
            <w:tcW w:w="4692" w:type="dxa"/>
            <w:gridSpan w:val="2"/>
            <w:vAlign w:val="center"/>
          </w:tcPr>
          <w:p w:rsidR="00661211" w:rsidRDefault="00661211" w:rsidP="00073BB4">
            <w:pPr>
              <w:spacing w:line="360" w:lineRule="auto"/>
              <w:rPr>
                <w:rFonts w:ascii="等线" w:eastAsia="等线" w:hAnsi="等线" w:cs="等线"/>
                <w:sz w:val="18"/>
                <w:szCs w:val="18"/>
              </w:rPr>
            </w:pPr>
            <w:r>
              <w:rPr>
                <w:rFonts w:ascii="等线" w:eastAsia="等线" w:hAnsi="等线" w:cs="等线" w:hint="eastAsia"/>
                <w:sz w:val="18"/>
                <w:szCs w:val="18"/>
              </w:rPr>
              <w:t>粒料灰分，%（质量分数）         ≤</w:t>
            </w:r>
          </w:p>
        </w:tc>
        <w:tc>
          <w:tcPr>
            <w:tcW w:w="1914" w:type="dxa"/>
            <w:tcMar>
              <w:left w:w="28" w:type="dxa"/>
              <w:right w:w="28" w:type="dxa"/>
            </w:tcMar>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0.0300</w:t>
            </w:r>
          </w:p>
        </w:tc>
        <w:tc>
          <w:tcPr>
            <w:tcW w:w="1914"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GB/T 9345</w:t>
            </w:r>
          </w:p>
        </w:tc>
      </w:tr>
      <w:tr w:rsidR="00661211" w:rsidTr="00073BB4">
        <w:trPr>
          <w:trHeight w:val="291"/>
          <w:jc w:val="center"/>
        </w:trPr>
        <w:tc>
          <w:tcPr>
            <w:tcW w:w="4692" w:type="dxa"/>
            <w:gridSpan w:val="2"/>
            <w:vAlign w:val="center"/>
          </w:tcPr>
          <w:p w:rsidR="00661211" w:rsidRDefault="00661211" w:rsidP="00073BB4">
            <w:pPr>
              <w:spacing w:line="360" w:lineRule="auto"/>
              <w:rPr>
                <w:rFonts w:ascii="等线" w:eastAsia="等线" w:hAnsi="等线" w:cs="等线"/>
                <w:sz w:val="18"/>
                <w:szCs w:val="18"/>
              </w:rPr>
            </w:pPr>
            <w:r>
              <w:rPr>
                <w:rFonts w:ascii="等线" w:eastAsia="等线" w:hAnsi="等线" w:cs="等线" w:hint="eastAsia"/>
                <w:sz w:val="18"/>
                <w:szCs w:val="18"/>
              </w:rPr>
              <w:t>黄色指数                         ≤</w:t>
            </w:r>
          </w:p>
        </w:tc>
        <w:tc>
          <w:tcPr>
            <w:tcW w:w="1914" w:type="dxa"/>
            <w:tcMar>
              <w:left w:w="28" w:type="dxa"/>
              <w:right w:w="28" w:type="dxa"/>
            </w:tcMar>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2</w:t>
            </w:r>
          </w:p>
        </w:tc>
        <w:tc>
          <w:tcPr>
            <w:tcW w:w="1914"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HG/T 3862</w:t>
            </w:r>
          </w:p>
        </w:tc>
      </w:tr>
      <w:tr w:rsidR="00661211" w:rsidTr="00073BB4">
        <w:trPr>
          <w:trHeight w:val="309"/>
          <w:jc w:val="center"/>
        </w:trPr>
        <w:tc>
          <w:tcPr>
            <w:tcW w:w="4692" w:type="dxa"/>
            <w:gridSpan w:val="2"/>
            <w:vAlign w:val="center"/>
          </w:tcPr>
          <w:p w:rsidR="00661211" w:rsidRDefault="00661211" w:rsidP="00073BB4">
            <w:pPr>
              <w:spacing w:line="360" w:lineRule="auto"/>
              <w:rPr>
                <w:rFonts w:ascii="等线" w:eastAsia="等线" w:hAnsi="等线" w:cs="等线"/>
                <w:sz w:val="18"/>
                <w:szCs w:val="18"/>
              </w:rPr>
            </w:pPr>
            <w:r>
              <w:rPr>
                <w:rFonts w:ascii="等线" w:eastAsia="等线" w:hAnsi="等线" w:cs="等线" w:hint="eastAsia"/>
                <w:sz w:val="18"/>
                <w:szCs w:val="18"/>
              </w:rPr>
              <w:t>拉伸屈服应力，MPa               ＞</w:t>
            </w:r>
          </w:p>
        </w:tc>
        <w:tc>
          <w:tcPr>
            <w:tcW w:w="1914" w:type="dxa"/>
            <w:tcMar>
              <w:left w:w="28" w:type="dxa"/>
              <w:right w:w="28" w:type="dxa"/>
            </w:tcMar>
            <w:vAlign w:val="center"/>
          </w:tcPr>
          <w:p w:rsidR="00661211" w:rsidRDefault="00661211" w:rsidP="00073BB4">
            <w:pPr>
              <w:widowControl/>
              <w:spacing w:line="360" w:lineRule="auto"/>
              <w:jc w:val="center"/>
              <w:rPr>
                <w:rFonts w:ascii="等线" w:eastAsia="等线" w:hAnsi="等线" w:cs="等线"/>
                <w:sz w:val="18"/>
                <w:szCs w:val="18"/>
              </w:rPr>
            </w:pPr>
            <w:r>
              <w:rPr>
                <w:rFonts w:ascii="等线" w:eastAsia="等线" w:hAnsi="等线" w:cs="等线" w:hint="eastAsia"/>
                <w:sz w:val="18"/>
                <w:szCs w:val="18"/>
              </w:rPr>
              <w:t>29.0</w:t>
            </w:r>
          </w:p>
        </w:tc>
        <w:tc>
          <w:tcPr>
            <w:tcW w:w="1914"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GB/T 1040</w:t>
            </w:r>
          </w:p>
        </w:tc>
      </w:tr>
    </w:tbl>
    <w:p w:rsidR="00661211" w:rsidRDefault="00661211" w:rsidP="00661211">
      <w:pPr>
        <w:spacing w:line="360" w:lineRule="auto"/>
        <w:jc w:val="center"/>
        <w:rPr>
          <w:rFonts w:ascii="等线" w:eastAsia="等线" w:hAnsi="等线" w:cs="等线"/>
          <w:bCs/>
          <w:color w:val="000000"/>
          <w:sz w:val="24"/>
        </w:rPr>
      </w:pPr>
    </w:p>
    <w:p w:rsidR="00661211" w:rsidRDefault="00661211" w:rsidP="00661211">
      <w:pPr>
        <w:spacing w:line="360" w:lineRule="auto"/>
        <w:jc w:val="center"/>
        <w:rPr>
          <w:rFonts w:ascii="等线" w:eastAsia="等线" w:hAnsi="等线" w:cs="等线"/>
          <w:bCs/>
          <w:color w:val="000000"/>
          <w:sz w:val="24"/>
        </w:rPr>
      </w:pPr>
      <w:r>
        <w:rPr>
          <w:rFonts w:ascii="等线" w:eastAsia="等线" w:hAnsi="等线" w:cs="等线" w:hint="eastAsia"/>
          <w:bCs/>
          <w:color w:val="000000"/>
          <w:sz w:val="24"/>
        </w:rPr>
        <w:t>表2 复合抗氧剂技术要求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991"/>
        <w:gridCol w:w="3319"/>
        <w:gridCol w:w="1539"/>
      </w:tblGrid>
      <w:tr w:rsidR="00661211" w:rsidTr="00073BB4">
        <w:trPr>
          <w:trHeight w:hRule="exact" w:val="340"/>
          <w:jc w:val="center"/>
        </w:trPr>
        <w:tc>
          <w:tcPr>
            <w:tcW w:w="67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序号</w:t>
            </w:r>
          </w:p>
        </w:tc>
        <w:tc>
          <w:tcPr>
            <w:tcW w:w="299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项    目</w:t>
            </w:r>
          </w:p>
        </w:tc>
        <w:tc>
          <w:tcPr>
            <w:tcW w:w="3319"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指   标</w:t>
            </w:r>
          </w:p>
        </w:tc>
        <w:tc>
          <w:tcPr>
            <w:tcW w:w="1539"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备注</w:t>
            </w:r>
          </w:p>
        </w:tc>
      </w:tr>
      <w:tr w:rsidR="00661211" w:rsidTr="00073BB4">
        <w:trPr>
          <w:trHeight w:hRule="exact" w:val="340"/>
          <w:jc w:val="center"/>
        </w:trPr>
        <w:tc>
          <w:tcPr>
            <w:tcW w:w="67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1</w:t>
            </w:r>
          </w:p>
        </w:tc>
        <w:tc>
          <w:tcPr>
            <w:tcW w:w="299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外  观</w:t>
            </w:r>
          </w:p>
        </w:tc>
        <w:tc>
          <w:tcPr>
            <w:tcW w:w="3319"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白色柱状颗粒</w:t>
            </w:r>
          </w:p>
        </w:tc>
        <w:tc>
          <w:tcPr>
            <w:tcW w:w="1539" w:type="dxa"/>
            <w:vAlign w:val="center"/>
          </w:tcPr>
          <w:p w:rsidR="00661211" w:rsidRDefault="00661211" w:rsidP="00073BB4">
            <w:pPr>
              <w:spacing w:line="360" w:lineRule="auto"/>
              <w:jc w:val="center"/>
              <w:rPr>
                <w:rFonts w:ascii="等线" w:eastAsia="等线" w:hAnsi="等线" w:cs="等线"/>
                <w:sz w:val="18"/>
                <w:szCs w:val="18"/>
              </w:rPr>
            </w:pPr>
          </w:p>
        </w:tc>
      </w:tr>
      <w:tr w:rsidR="00661211" w:rsidTr="00073BB4">
        <w:trPr>
          <w:trHeight w:hRule="exact" w:val="340"/>
          <w:jc w:val="center"/>
        </w:trPr>
        <w:tc>
          <w:tcPr>
            <w:tcW w:w="67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lastRenderedPageBreak/>
              <w:t>2</w:t>
            </w:r>
          </w:p>
        </w:tc>
        <w:tc>
          <w:tcPr>
            <w:tcW w:w="299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挥发分，%</w:t>
            </w:r>
          </w:p>
        </w:tc>
        <w:tc>
          <w:tcPr>
            <w:tcW w:w="3319"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≤2.0</w:t>
            </w:r>
          </w:p>
        </w:tc>
        <w:tc>
          <w:tcPr>
            <w:tcW w:w="1539" w:type="dxa"/>
            <w:vAlign w:val="center"/>
          </w:tcPr>
          <w:p w:rsidR="00661211" w:rsidRDefault="00661211" w:rsidP="00073BB4">
            <w:pPr>
              <w:spacing w:line="360" w:lineRule="auto"/>
              <w:jc w:val="center"/>
              <w:rPr>
                <w:rFonts w:ascii="等线" w:eastAsia="等线" w:hAnsi="等线" w:cs="等线"/>
                <w:sz w:val="18"/>
                <w:szCs w:val="18"/>
              </w:rPr>
            </w:pPr>
          </w:p>
        </w:tc>
      </w:tr>
      <w:tr w:rsidR="00661211" w:rsidTr="00073BB4">
        <w:trPr>
          <w:trHeight w:hRule="exact" w:val="340"/>
          <w:jc w:val="center"/>
        </w:trPr>
        <w:tc>
          <w:tcPr>
            <w:tcW w:w="67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3</w:t>
            </w:r>
          </w:p>
        </w:tc>
        <w:tc>
          <w:tcPr>
            <w:tcW w:w="299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堆密度，g/cm3</w:t>
            </w:r>
          </w:p>
        </w:tc>
        <w:tc>
          <w:tcPr>
            <w:tcW w:w="3319"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0.40-0.60</w:t>
            </w:r>
          </w:p>
        </w:tc>
        <w:tc>
          <w:tcPr>
            <w:tcW w:w="1539" w:type="dxa"/>
            <w:vAlign w:val="center"/>
          </w:tcPr>
          <w:p w:rsidR="00661211" w:rsidRDefault="00661211" w:rsidP="00073BB4">
            <w:pPr>
              <w:spacing w:line="360" w:lineRule="auto"/>
              <w:jc w:val="center"/>
              <w:rPr>
                <w:rFonts w:ascii="等线" w:eastAsia="等线" w:hAnsi="等线" w:cs="等线"/>
                <w:sz w:val="18"/>
                <w:szCs w:val="18"/>
              </w:rPr>
            </w:pPr>
          </w:p>
        </w:tc>
      </w:tr>
      <w:tr w:rsidR="00661211" w:rsidTr="00073BB4">
        <w:trPr>
          <w:trHeight w:hRule="exact" w:val="340"/>
          <w:jc w:val="center"/>
        </w:trPr>
        <w:tc>
          <w:tcPr>
            <w:tcW w:w="67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4</w:t>
            </w:r>
          </w:p>
        </w:tc>
        <w:tc>
          <w:tcPr>
            <w:tcW w:w="299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抗氧剂168，%</w:t>
            </w:r>
          </w:p>
        </w:tc>
        <w:tc>
          <w:tcPr>
            <w:tcW w:w="3319"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17.5-22.5</w:t>
            </w:r>
          </w:p>
        </w:tc>
        <w:tc>
          <w:tcPr>
            <w:tcW w:w="1539" w:type="dxa"/>
            <w:vAlign w:val="center"/>
          </w:tcPr>
          <w:p w:rsidR="00661211" w:rsidRDefault="00661211" w:rsidP="00073BB4">
            <w:pPr>
              <w:spacing w:line="360" w:lineRule="auto"/>
              <w:jc w:val="center"/>
              <w:rPr>
                <w:rFonts w:ascii="等线" w:eastAsia="等线" w:hAnsi="等线" w:cs="等线"/>
                <w:sz w:val="18"/>
                <w:szCs w:val="18"/>
              </w:rPr>
            </w:pPr>
          </w:p>
        </w:tc>
      </w:tr>
      <w:tr w:rsidR="00661211" w:rsidTr="00073BB4">
        <w:trPr>
          <w:trHeight w:hRule="exact" w:val="340"/>
          <w:jc w:val="center"/>
        </w:trPr>
        <w:tc>
          <w:tcPr>
            <w:tcW w:w="67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5</w:t>
            </w:r>
          </w:p>
        </w:tc>
        <w:tc>
          <w:tcPr>
            <w:tcW w:w="299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抗氧剂1010，%</w:t>
            </w:r>
          </w:p>
        </w:tc>
        <w:tc>
          <w:tcPr>
            <w:tcW w:w="3319"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25-30</w:t>
            </w:r>
          </w:p>
        </w:tc>
        <w:tc>
          <w:tcPr>
            <w:tcW w:w="1539" w:type="dxa"/>
            <w:vAlign w:val="center"/>
          </w:tcPr>
          <w:p w:rsidR="00661211" w:rsidRDefault="00661211" w:rsidP="00073BB4">
            <w:pPr>
              <w:spacing w:line="360" w:lineRule="auto"/>
              <w:jc w:val="center"/>
              <w:rPr>
                <w:rFonts w:ascii="等线" w:eastAsia="等线" w:hAnsi="等线" w:cs="等线"/>
                <w:sz w:val="18"/>
                <w:szCs w:val="18"/>
              </w:rPr>
            </w:pPr>
          </w:p>
        </w:tc>
      </w:tr>
      <w:tr w:rsidR="00661211" w:rsidTr="00073BB4">
        <w:trPr>
          <w:trHeight w:hRule="exact" w:val="340"/>
          <w:jc w:val="center"/>
        </w:trPr>
        <w:tc>
          <w:tcPr>
            <w:tcW w:w="67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6</w:t>
            </w:r>
          </w:p>
        </w:tc>
        <w:tc>
          <w:tcPr>
            <w:tcW w:w="299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硬脂酸钙，%</w:t>
            </w:r>
          </w:p>
        </w:tc>
        <w:tc>
          <w:tcPr>
            <w:tcW w:w="3319"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22.5-27.5</w:t>
            </w:r>
          </w:p>
        </w:tc>
        <w:tc>
          <w:tcPr>
            <w:tcW w:w="1539" w:type="dxa"/>
            <w:vAlign w:val="center"/>
          </w:tcPr>
          <w:p w:rsidR="00661211" w:rsidRDefault="00661211" w:rsidP="00073BB4">
            <w:pPr>
              <w:spacing w:line="360" w:lineRule="auto"/>
              <w:jc w:val="center"/>
              <w:rPr>
                <w:rFonts w:ascii="等线" w:eastAsia="等线" w:hAnsi="等线" w:cs="等线"/>
                <w:sz w:val="18"/>
                <w:szCs w:val="18"/>
              </w:rPr>
            </w:pPr>
          </w:p>
        </w:tc>
      </w:tr>
      <w:tr w:rsidR="00661211" w:rsidTr="00073BB4">
        <w:trPr>
          <w:trHeight w:hRule="exact" w:val="340"/>
          <w:jc w:val="center"/>
        </w:trPr>
        <w:tc>
          <w:tcPr>
            <w:tcW w:w="67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7</w:t>
            </w:r>
          </w:p>
        </w:tc>
        <w:tc>
          <w:tcPr>
            <w:tcW w:w="2991" w:type="dxa"/>
            <w:tcBorders>
              <w:left w:val="single" w:sz="4" w:space="0" w:color="auto"/>
            </w:tcBorders>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GMS-90</w:t>
            </w:r>
          </w:p>
        </w:tc>
        <w:tc>
          <w:tcPr>
            <w:tcW w:w="3319" w:type="dxa"/>
            <w:vAlign w:val="center"/>
          </w:tcPr>
          <w:p w:rsidR="00661211" w:rsidRDefault="00661211" w:rsidP="00073BB4">
            <w:pPr>
              <w:spacing w:line="360" w:lineRule="auto"/>
              <w:jc w:val="center"/>
              <w:rPr>
                <w:rFonts w:ascii="等线" w:eastAsia="等线" w:hAnsi="等线" w:cs="等线"/>
                <w:sz w:val="18"/>
                <w:szCs w:val="18"/>
              </w:rPr>
            </w:pPr>
            <w:r>
              <w:rPr>
                <w:rFonts w:ascii="等线" w:eastAsia="等线" w:hAnsi="等线" w:cs="等线" w:hint="eastAsia"/>
                <w:sz w:val="18"/>
                <w:szCs w:val="18"/>
              </w:rPr>
              <w:t>25-30</w:t>
            </w:r>
          </w:p>
        </w:tc>
        <w:tc>
          <w:tcPr>
            <w:tcW w:w="1539" w:type="dxa"/>
            <w:vAlign w:val="center"/>
          </w:tcPr>
          <w:p w:rsidR="00661211" w:rsidRDefault="00661211" w:rsidP="00073BB4">
            <w:pPr>
              <w:spacing w:line="360" w:lineRule="auto"/>
              <w:jc w:val="center"/>
              <w:rPr>
                <w:rFonts w:ascii="等线" w:eastAsia="等线" w:hAnsi="等线" w:cs="等线"/>
                <w:sz w:val="18"/>
                <w:szCs w:val="18"/>
              </w:rPr>
            </w:pPr>
          </w:p>
        </w:tc>
      </w:tr>
    </w:tbl>
    <w:p w:rsidR="00661211" w:rsidRDefault="00661211" w:rsidP="00661211">
      <w:pPr>
        <w:spacing w:line="360" w:lineRule="auto"/>
        <w:ind w:firstLineChars="200" w:firstLine="480"/>
        <w:rPr>
          <w:rFonts w:ascii="等线" w:eastAsia="等线" w:hAnsi="等线" w:cs="等线"/>
          <w:bCs/>
          <w:sz w:val="24"/>
        </w:rPr>
      </w:pPr>
    </w:p>
    <w:p w:rsidR="00661211" w:rsidRDefault="00661211" w:rsidP="00661211">
      <w:pPr>
        <w:spacing w:line="360" w:lineRule="auto"/>
        <w:ind w:firstLineChars="200" w:firstLine="480"/>
        <w:rPr>
          <w:rFonts w:ascii="等线" w:eastAsia="等线" w:hAnsi="等线" w:cs="等线"/>
          <w:bCs/>
          <w:sz w:val="24"/>
        </w:rPr>
      </w:pPr>
      <w:r>
        <w:rPr>
          <w:rFonts w:ascii="等线" w:eastAsia="等线" w:hAnsi="等线" w:cs="等线" w:hint="eastAsia"/>
          <w:bCs/>
          <w:sz w:val="24"/>
        </w:rPr>
        <w:t>3、国产产品，提供企业所在地的技术监督局备案的产品标准（或网上备案）； 进口产品， 需代理商提供原厂家相关的技术资料和有效独家授权资质证明。</w:t>
      </w:r>
    </w:p>
    <w:p w:rsidR="00661211" w:rsidRDefault="00661211" w:rsidP="00661211">
      <w:pPr>
        <w:spacing w:line="360" w:lineRule="auto"/>
        <w:ind w:firstLineChars="200" w:firstLine="480"/>
        <w:rPr>
          <w:rFonts w:ascii="等线" w:eastAsia="等线" w:hAnsi="等线" w:cs="等线"/>
          <w:bCs/>
          <w:sz w:val="24"/>
        </w:rPr>
      </w:pPr>
      <w:r>
        <w:rPr>
          <w:rFonts w:ascii="等线" w:eastAsia="等线" w:hAnsi="等线" w:cs="等线" w:hint="eastAsia"/>
          <w:bCs/>
          <w:sz w:val="24"/>
        </w:rPr>
        <w:t>4、投标的降解剂产品，应提交第三方（具备国家、 国际上认可的检验资质） 检测机构出具的食品、 卫生方面的检测报告。（以保证加入该产品生产纤维料的聚丙烯产品， 可以具备生产食品、 卫生用途的后加工产品的条件）。</w:t>
      </w:r>
    </w:p>
    <w:p w:rsidR="00661211" w:rsidRDefault="00661211" w:rsidP="00661211">
      <w:pPr>
        <w:spacing w:line="360" w:lineRule="auto"/>
        <w:ind w:firstLineChars="200" w:firstLine="480"/>
        <w:rPr>
          <w:rFonts w:ascii="等线" w:eastAsia="等线" w:hAnsi="等线" w:cs="等线"/>
          <w:bCs/>
          <w:sz w:val="24"/>
        </w:rPr>
      </w:pPr>
      <w:r>
        <w:rPr>
          <w:rFonts w:ascii="等线" w:eastAsia="等线" w:hAnsi="等线" w:cs="等线" w:hint="eastAsia"/>
          <w:bCs/>
          <w:sz w:val="24"/>
        </w:rPr>
        <w:t>5、提供的产品在近三年（2017年1月1日至2019年12月31日） 使用过程中未发生安全、质量责任事故；所提供的材料不存在弄虚作假；提供由法定代表人或授权代表签署并加盖公章的承诺书。</w:t>
      </w:r>
    </w:p>
    <w:p w:rsidR="00661211" w:rsidRDefault="00661211" w:rsidP="00661211">
      <w:pPr>
        <w:spacing w:line="360" w:lineRule="auto"/>
        <w:ind w:firstLineChars="200" w:firstLine="480"/>
        <w:rPr>
          <w:rFonts w:ascii="等线" w:eastAsia="等线" w:hAnsi="等线" w:cs="等线"/>
          <w:bCs/>
          <w:color w:val="000000"/>
          <w:sz w:val="24"/>
        </w:rPr>
      </w:pPr>
      <w:r>
        <w:rPr>
          <w:rFonts w:ascii="等线" w:eastAsia="等线" w:hAnsi="等线" w:cs="等线" w:hint="eastAsia"/>
          <w:bCs/>
          <w:color w:val="000000"/>
          <w:sz w:val="24"/>
        </w:rPr>
        <w:t>6、提供投标产品的专利证书， 以保证不应因使用该产品而引起知识产权方面的纠纷或提供承诺书承诺：投标产品在招标方使用过程中，不会引起知识产权的纠纷， 如引起纠纷， 责任完全由投标方负责； 同时招标方停止使用投标方产品。</w:t>
      </w:r>
    </w:p>
    <w:p w:rsidR="00661211" w:rsidRDefault="00661211" w:rsidP="00661211">
      <w:pPr>
        <w:spacing w:line="360" w:lineRule="auto"/>
        <w:ind w:firstLineChars="200" w:firstLine="480"/>
        <w:rPr>
          <w:rFonts w:ascii="等线" w:eastAsia="等线" w:hAnsi="等线" w:cs="等线"/>
          <w:bCs/>
          <w:color w:val="000000"/>
          <w:sz w:val="24"/>
        </w:rPr>
      </w:pPr>
      <w:r>
        <w:rPr>
          <w:rFonts w:ascii="等线" w:eastAsia="等线" w:hAnsi="等线" w:cs="等线" w:hint="eastAsia"/>
          <w:bCs/>
          <w:color w:val="000000"/>
          <w:sz w:val="24"/>
        </w:rPr>
        <w:t>7、HT40S降解剂、复合添加剂的理化性能、质量指标、检验、标志、运输及存储要符合投标人企业标准。HT40S降解剂、复合添加剂包装根据呼石化现场使用条件提供(要与呼石化第三联合车间具体沟通)。</w:t>
      </w:r>
    </w:p>
    <w:p w:rsidR="00661211" w:rsidRDefault="00661211" w:rsidP="00661211">
      <w:pPr>
        <w:widowControl/>
        <w:spacing w:line="360" w:lineRule="auto"/>
        <w:ind w:right="-79" w:firstLineChars="204" w:firstLine="490"/>
        <w:jc w:val="left"/>
        <w:rPr>
          <w:rFonts w:ascii="等线" w:eastAsia="等线" w:hAnsi="等线" w:cs="等线"/>
          <w:bCs/>
          <w:color w:val="000000"/>
          <w:sz w:val="24"/>
        </w:rPr>
      </w:pPr>
      <w:r>
        <w:rPr>
          <w:rFonts w:ascii="等线" w:eastAsia="等线" w:hAnsi="等线" w:cs="等线" w:hint="eastAsia"/>
          <w:bCs/>
          <w:color w:val="000000"/>
          <w:sz w:val="24"/>
        </w:rPr>
        <w:t>8、招标人按中标人提供的检验方法进行检测HT40S降解剂、复合添加剂，如与指标不符，拒收该剂。招标人将不定期委托国内权威单位分析中标人所供</w:t>
      </w:r>
      <w:r>
        <w:rPr>
          <w:rFonts w:ascii="等线" w:eastAsia="等线" w:hAnsi="等线" w:cs="等线" w:hint="eastAsia"/>
          <w:bCs/>
          <w:color w:val="000000"/>
          <w:sz w:val="24"/>
        </w:rPr>
        <w:lastRenderedPageBreak/>
        <w:t>产品，若出现与技术协议指标不相符合的情况，招标人将终止合同，并在中国石油同行业通报分析结果。</w:t>
      </w:r>
    </w:p>
    <w:p w:rsidR="00661211" w:rsidRDefault="00661211" w:rsidP="00661211">
      <w:pPr>
        <w:widowControl/>
        <w:spacing w:line="360" w:lineRule="auto"/>
        <w:ind w:right="-79" w:firstLineChars="204" w:firstLine="490"/>
        <w:jc w:val="left"/>
        <w:rPr>
          <w:rFonts w:ascii="等线" w:eastAsia="等线" w:hAnsi="等线" w:cs="等线"/>
          <w:bCs/>
          <w:color w:val="000000"/>
          <w:sz w:val="24"/>
        </w:rPr>
      </w:pPr>
      <w:r>
        <w:rPr>
          <w:rFonts w:ascii="等线" w:eastAsia="等线" w:hAnsi="等线" w:cs="等线" w:hint="eastAsia"/>
          <w:bCs/>
          <w:color w:val="000000"/>
          <w:sz w:val="24"/>
        </w:rPr>
        <w:t>9、HT40S降解剂、复合添加剂的使用要符合呼石化安全环保要求，若因该剂的使用影响了甲方安全环保，投标人承担全部责任。</w:t>
      </w:r>
    </w:p>
    <w:p w:rsidR="00661211" w:rsidRDefault="00661211" w:rsidP="00661211">
      <w:pPr>
        <w:widowControl/>
        <w:spacing w:line="360" w:lineRule="auto"/>
        <w:ind w:right="-79" w:firstLineChars="204" w:firstLine="490"/>
        <w:jc w:val="left"/>
        <w:rPr>
          <w:rFonts w:ascii="等线" w:eastAsia="等线" w:hAnsi="等线" w:cs="等线"/>
          <w:bCs/>
          <w:color w:val="000000"/>
          <w:sz w:val="24"/>
        </w:rPr>
      </w:pPr>
      <w:r>
        <w:rPr>
          <w:rFonts w:ascii="等线" w:eastAsia="等线" w:hAnsi="等线" w:cs="等线" w:hint="eastAsia"/>
          <w:bCs/>
          <w:color w:val="000000"/>
          <w:sz w:val="24"/>
        </w:rPr>
        <w:t>10、HT40S降解剂全年单耗须控制在7000ppm以内，抗氧剂全年单耗须控制在1750ppm以内，如出现全年单耗超出情况，由中标人无偿补充超出部分添加剂用量。</w:t>
      </w:r>
    </w:p>
    <w:p w:rsidR="00661211" w:rsidRDefault="00661211" w:rsidP="00661211">
      <w:pPr>
        <w:widowControl/>
        <w:spacing w:line="360" w:lineRule="auto"/>
        <w:ind w:right="-79" w:firstLineChars="204" w:firstLine="490"/>
        <w:jc w:val="left"/>
        <w:rPr>
          <w:rFonts w:ascii="等线" w:eastAsia="等线" w:hAnsi="等线" w:cs="等线"/>
          <w:bCs/>
          <w:color w:val="000000"/>
          <w:sz w:val="24"/>
        </w:rPr>
      </w:pPr>
      <w:r>
        <w:rPr>
          <w:rFonts w:ascii="等线" w:eastAsia="等线" w:hAnsi="等线" w:cs="等线" w:hint="eastAsia"/>
          <w:bCs/>
          <w:color w:val="000000"/>
          <w:sz w:val="24"/>
        </w:rPr>
        <w:t>11、HT40S降解剂、复合添加剂由中标人代为储存，根据呼石化要求按时、按量送货。</w:t>
      </w:r>
    </w:p>
    <w:p w:rsidR="00661211" w:rsidRDefault="00661211" w:rsidP="00661211">
      <w:pPr>
        <w:widowControl/>
        <w:spacing w:line="360" w:lineRule="auto"/>
        <w:ind w:right="-79" w:firstLineChars="204" w:firstLine="490"/>
        <w:jc w:val="left"/>
        <w:rPr>
          <w:rFonts w:ascii="等线" w:eastAsia="等线" w:hAnsi="等线" w:cs="等线"/>
          <w:color w:val="000000"/>
          <w:kern w:val="0"/>
          <w:sz w:val="24"/>
        </w:rPr>
      </w:pPr>
      <w:r>
        <w:rPr>
          <w:rFonts w:ascii="等线" w:eastAsia="等线" w:hAnsi="等线" w:cs="等线" w:hint="eastAsia"/>
          <w:bCs/>
          <w:color w:val="000000"/>
          <w:sz w:val="24"/>
        </w:rPr>
        <w:t>12、按照招标方评标委员会确定的中标候选人次序组织试用， 凡首次在招标方使用或提供新产品的供应商， 需与招标方技术部门进行技术交流、 提供样品、 签订技术协议， 产品经试用合格后方可签订买卖合同（不合格的不予支付货款） , 试用数量 10吨。</w:t>
      </w:r>
    </w:p>
    <w:p w:rsidR="006F1718" w:rsidRDefault="006F1718" w:rsidP="00661211">
      <w:bookmarkStart w:id="0" w:name="_GoBack"/>
      <w:bookmarkEnd w:id="0"/>
    </w:p>
    <w:sectPr w:rsidR="006F17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EF1" w:rsidRDefault="00775EF1" w:rsidP="00661211">
      <w:r>
        <w:separator/>
      </w:r>
    </w:p>
  </w:endnote>
  <w:endnote w:type="continuationSeparator" w:id="0">
    <w:p w:rsidR="00775EF1" w:rsidRDefault="00775EF1" w:rsidP="0066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EF1" w:rsidRDefault="00775EF1" w:rsidP="00661211">
      <w:r>
        <w:separator/>
      </w:r>
    </w:p>
  </w:footnote>
  <w:footnote w:type="continuationSeparator" w:id="0">
    <w:p w:rsidR="00775EF1" w:rsidRDefault="00775EF1" w:rsidP="0066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E8F"/>
    <w:rsid w:val="00175E8F"/>
    <w:rsid w:val="00661211"/>
    <w:rsid w:val="006F1718"/>
    <w:rsid w:val="00775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D1F56"/>
  <w15:chartTrackingRefBased/>
  <w15:docId w15:val="{08AF6A1B-7167-4171-80E9-4AFF9723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211"/>
    <w:pPr>
      <w:widowControl w:val="0"/>
      <w:jc w:val="both"/>
    </w:pPr>
    <w:rPr>
      <w:rFonts w:ascii="Times New Roman" w:eastAsia="宋体" w:hAnsi="Times New Roman" w:cs="Times New Roman"/>
      <w:szCs w:val="24"/>
    </w:rPr>
  </w:style>
  <w:style w:type="paragraph" w:styleId="1">
    <w:name w:val="heading 1"/>
    <w:basedOn w:val="a"/>
    <w:next w:val="a"/>
    <w:link w:val="11"/>
    <w:qFormat/>
    <w:rsid w:val="00661211"/>
    <w:pPr>
      <w:keepNext/>
      <w:keepLines/>
      <w:spacing w:line="360" w:lineRule="auto"/>
      <w:jc w:val="center"/>
      <w:outlineLvl w:val="0"/>
    </w:pPr>
    <w:rPr>
      <w:b/>
      <w:bCs/>
      <w:kern w:val="44"/>
      <w:sz w:val="36"/>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2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61211"/>
    <w:rPr>
      <w:sz w:val="18"/>
      <w:szCs w:val="18"/>
    </w:rPr>
  </w:style>
  <w:style w:type="paragraph" w:styleId="a5">
    <w:name w:val="footer"/>
    <w:basedOn w:val="a"/>
    <w:link w:val="a6"/>
    <w:uiPriority w:val="99"/>
    <w:unhideWhenUsed/>
    <w:rsid w:val="006612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61211"/>
    <w:rPr>
      <w:sz w:val="18"/>
      <w:szCs w:val="18"/>
    </w:rPr>
  </w:style>
  <w:style w:type="character" w:customStyle="1" w:styleId="10">
    <w:name w:val="标题 1 字符"/>
    <w:basedOn w:val="a0"/>
    <w:uiPriority w:val="9"/>
    <w:rsid w:val="00661211"/>
    <w:rPr>
      <w:rFonts w:ascii="Times New Roman" w:eastAsia="宋体" w:hAnsi="Times New Roman" w:cs="Times New Roman"/>
      <w:b/>
      <w:bCs/>
      <w:kern w:val="44"/>
      <w:sz w:val="44"/>
      <w:szCs w:val="44"/>
    </w:rPr>
  </w:style>
  <w:style w:type="character" w:customStyle="1" w:styleId="11">
    <w:name w:val="标题 1 字符1"/>
    <w:link w:val="1"/>
    <w:rsid w:val="00661211"/>
    <w:rPr>
      <w:rFonts w:ascii="Times New Roman" w:eastAsia="宋体" w:hAnsi="Times New Roman" w:cs="Times New Roman"/>
      <w:b/>
      <w:bCs/>
      <w:kern w:val="44"/>
      <w:sz w:val="36"/>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257</Words>
  <Characters>1470</Characters>
  <Application>Microsoft Office Word</Application>
  <DocSecurity>0</DocSecurity>
  <Lines>12</Lines>
  <Paragraphs>3</Paragraphs>
  <ScaleCrop>false</ScaleCrop>
  <Company>Microsoft</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2020-08-29T04:41:00Z</dcterms:created>
  <dcterms:modified xsi:type="dcterms:W3CDTF">2020-08-29T04:42:00Z</dcterms:modified>
</cp:coreProperties>
</file>